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28055FAC" w:rsidR="00680F49" w:rsidRPr="008E567D" w:rsidRDefault="00680F49" w:rsidP="003724C6">
      <w:pPr>
        <w:jc w:val="center"/>
        <w:rPr>
          <w:i/>
          <w:u w:val="single"/>
          <w:lang w:val="en-GB"/>
        </w:rPr>
      </w:pPr>
      <w:r w:rsidRPr="008E567D">
        <w:rPr>
          <w:i/>
          <w:u w:val="single"/>
          <w:lang w:val="en-GB"/>
        </w:rPr>
        <w:t>[</w:t>
      </w:r>
      <w:r w:rsidR="00E314F8">
        <w:rPr>
          <w:i/>
          <w:u w:val="single"/>
          <w:lang w:val="en-GB"/>
        </w:rPr>
        <w:t>10</w:t>
      </w:r>
      <w:r w:rsidR="007A4015" w:rsidRPr="008E567D">
        <w:rPr>
          <w:i/>
          <w:u w:val="single"/>
          <w:lang w:val="en-GB"/>
        </w:rPr>
        <w:t>/0</w:t>
      </w:r>
      <w:r w:rsidR="00C75E02">
        <w:rPr>
          <w:i/>
          <w:u w:val="single"/>
          <w:lang w:val="en-GB"/>
        </w:rPr>
        <w:t>6</w:t>
      </w:r>
      <w:r w:rsidR="007A4015" w:rsidRPr="008E567D">
        <w:rPr>
          <w:i/>
          <w:u w:val="single"/>
          <w:lang w:val="en-GB"/>
        </w:rPr>
        <w:t>/202</w:t>
      </w:r>
      <w:r w:rsidR="008E567D" w:rsidRPr="008E567D">
        <w:rPr>
          <w:i/>
          <w:u w:val="single"/>
          <w:lang w:val="en-GB"/>
        </w:rPr>
        <w:t>4</w:t>
      </w:r>
      <w:r w:rsidRPr="008E567D">
        <w:rPr>
          <w:i/>
          <w:u w:val="single"/>
          <w:lang w:val="en-GB"/>
        </w:rPr>
        <w:t>]</w:t>
      </w:r>
    </w:p>
    <w:p w14:paraId="36C35462" w14:textId="0258608F" w:rsidR="00680F49" w:rsidRPr="008E567D" w:rsidRDefault="00680F49" w:rsidP="003724C6">
      <w:pPr>
        <w:jc w:val="center"/>
        <w:rPr>
          <w:i/>
          <w:u w:val="single"/>
          <w:lang w:val="en-GB"/>
        </w:rPr>
      </w:pPr>
      <w:r w:rsidRPr="008E567D">
        <w:rPr>
          <w:i/>
          <w:u w:val="single"/>
          <w:lang w:val="en-GB"/>
        </w:rPr>
        <w:t>[</w:t>
      </w:r>
      <w:r w:rsidR="007A4015" w:rsidRPr="008E567D">
        <w:rPr>
          <w:i/>
          <w:u w:val="single"/>
          <w:lang w:val="en-GB"/>
        </w:rPr>
        <w:t>VLAIO</w:t>
      </w:r>
      <w:r w:rsidRPr="008E567D">
        <w:rPr>
          <w:i/>
          <w:u w:val="single"/>
          <w:lang w:val="en-GB"/>
        </w:rPr>
        <w:t>]</w:t>
      </w:r>
    </w:p>
    <w:p w14:paraId="7E88F34A" w14:textId="77777777" w:rsidR="001576BD" w:rsidRPr="008E567D" w:rsidRDefault="001576BD" w:rsidP="001576BD">
      <w:pPr>
        <w:jc w:val="center"/>
        <w:rPr>
          <w:i/>
          <w:u w:val="single"/>
          <w:lang w:val="en-GB"/>
        </w:rPr>
      </w:pPr>
      <w:r w:rsidRPr="008E567D">
        <w:rPr>
          <w:i/>
          <w:iCs/>
          <w:u w:val="single"/>
          <w:lang w:val="en-GB"/>
        </w:rPr>
        <w:t>Measure name:</w:t>
      </w:r>
    </w:p>
    <w:p w14:paraId="66EA46DB" w14:textId="45B2BF0A" w:rsidR="006D68DF" w:rsidRPr="00590667" w:rsidRDefault="00992F0E" w:rsidP="107FEA7C">
      <w:pPr>
        <w:jc w:val="center"/>
        <w:rPr>
          <w:i/>
          <w:iCs/>
          <w:u w:val="single"/>
          <w:lang w:val="en-GB"/>
        </w:rPr>
      </w:pPr>
      <w:r w:rsidRPr="008E567D">
        <w:rPr>
          <w:i/>
          <w:iCs/>
          <w:u w:val="single"/>
          <w:lang w:val="en-GB"/>
        </w:rPr>
        <w:t xml:space="preserve"> </w:t>
      </w:r>
      <w:r w:rsidR="66F07C74" w:rsidRPr="008E567D">
        <w:rPr>
          <w:i/>
          <w:iCs/>
          <w:u w:val="single"/>
          <w:lang w:val="en-GB"/>
        </w:rPr>
        <w:t>[</w:t>
      </w:r>
      <w:r w:rsidR="006D68DF" w:rsidRPr="008E567D">
        <w:rPr>
          <w:i/>
          <w:iCs/>
          <w:u w:val="single"/>
          <w:lang w:val="en-GB"/>
        </w:rPr>
        <w:t>MILESTONE</w:t>
      </w:r>
      <w:r w:rsidR="007A4015" w:rsidRPr="008E567D">
        <w:rPr>
          <w:i/>
          <w:iCs/>
          <w:u w:val="single"/>
          <w:lang w:val="en-GB"/>
        </w:rPr>
        <w:t xml:space="preserve"> </w:t>
      </w:r>
      <w:r w:rsidR="00616B38">
        <w:rPr>
          <w:i/>
          <w:iCs/>
          <w:u w:val="single"/>
          <w:lang w:val="en-GB"/>
        </w:rPr>
        <w:t>186</w:t>
      </w:r>
      <w:r w:rsidR="007A4015" w:rsidRPr="008E567D">
        <w:rPr>
          <w:i/>
          <w:iCs/>
          <w:u w:val="single"/>
          <w:lang w:val="en-GB"/>
        </w:rPr>
        <w:t xml:space="preserve"> </w:t>
      </w:r>
      <w:r w:rsidR="00680F49" w:rsidRPr="008E567D">
        <w:rPr>
          <w:i/>
          <w:iCs/>
          <w:u w:val="single"/>
          <w:lang w:val="en-GB"/>
        </w:rPr>
        <w:t>/</w:t>
      </w:r>
      <w:r w:rsidR="007A4015" w:rsidRPr="008E567D">
        <w:rPr>
          <w:i/>
          <w:iCs/>
          <w:u w:val="single"/>
          <w:lang w:val="en-GB"/>
        </w:rPr>
        <w:t>I</w:t>
      </w:r>
      <w:r w:rsidR="00616B38">
        <w:rPr>
          <w:i/>
          <w:iCs/>
          <w:u w:val="single"/>
          <w:lang w:val="en-GB"/>
        </w:rPr>
        <w:t>-5.11</w:t>
      </w:r>
      <w:r w:rsidR="007A4015" w:rsidRPr="008E567D">
        <w:rPr>
          <w:i/>
          <w:iCs/>
          <w:u w:val="single"/>
          <w:lang w:val="en-GB"/>
        </w:rPr>
        <w:t xml:space="preserve"> </w:t>
      </w:r>
      <w:r w:rsidR="00362A08">
        <w:rPr>
          <w:i/>
          <w:iCs/>
          <w:u w:val="single"/>
          <w:lang w:val="en-GB"/>
        </w:rPr>
        <w:t>Strengthen R&amp;D</w:t>
      </w:r>
      <w:r w:rsidR="00680F49" w:rsidRPr="008E567D">
        <w:rPr>
          <w:i/>
          <w:iCs/>
          <w:u w:val="single"/>
          <w:lang w:val="en-GB"/>
        </w:rPr>
        <w:t>]</w:t>
      </w:r>
      <w:r w:rsidR="00680F49" w:rsidRPr="107FEA7C">
        <w:rPr>
          <w:i/>
          <w:iCs/>
          <w:u w:val="single"/>
          <w:lang w:val="en-GB"/>
        </w:rPr>
        <w:t xml:space="preserve"> </w:t>
      </w:r>
    </w:p>
    <w:p w14:paraId="08AE13B1" w14:textId="1C654630" w:rsidR="00DD6071" w:rsidRDefault="00DD6071" w:rsidP="00212D8D">
      <w:pPr>
        <w:pBdr>
          <w:top w:val="single" w:sz="4" w:space="1" w:color="auto"/>
          <w:left w:val="single" w:sz="4" w:space="4" w:color="auto"/>
          <w:bottom w:val="single" w:sz="4" w:space="1" w:color="auto"/>
          <w:right w:val="single" w:sz="4" w:space="4" w:color="auto"/>
        </w:pBdr>
        <w:rPr>
          <w:b/>
          <w:bCs/>
          <w:u w:val="single"/>
          <w:lang w:val="en-GB"/>
        </w:rPr>
      </w:pPr>
      <w:r>
        <w:rPr>
          <w:b/>
          <w:bCs/>
          <w:u w:val="single"/>
          <w:lang w:val="en-GB"/>
        </w:rPr>
        <w:t>Description of the measure:</w:t>
      </w:r>
    </w:p>
    <w:p w14:paraId="72DCF367" w14:textId="5FBA8458" w:rsidR="00113619" w:rsidRPr="00113619" w:rsidRDefault="00113619" w:rsidP="005D0CA5">
      <w:pPr>
        <w:pBdr>
          <w:top w:val="single" w:sz="4" w:space="1" w:color="auto"/>
          <w:left w:val="single" w:sz="4" w:space="4" w:color="auto"/>
          <w:bottom w:val="single" w:sz="4" w:space="1" w:color="auto"/>
          <w:right w:val="single" w:sz="4" w:space="4" w:color="auto"/>
        </w:pBdr>
        <w:rPr>
          <w:b/>
          <w:bCs/>
          <w:u w:val="single"/>
          <w:lang w:val="en-GB"/>
        </w:rPr>
      </w:pPr>
      <w:r w:rsidRPr="00113619">
        <w:rPr>
          <w:b/>
          <w:bCs/>
          <w:u w:val="single"/>
          <w:lang w:val="en-GB"/>
        </w:rPr>
        <w:t>Investment I-5.11: ‘Strengthen R&amp;D’ of the Flemish Region</w:t>
      </w:r>
    </w:p>
    <w:p w14:paraId="6FEACF58" w14:textId="12A22E75" w:rsidR="005D0CA5" w:rsidRPr="005D0CA5" w:rsidRDefault="005D0CA5" w:rsidP="005D0CA5">
      <w:pPr>
        <w:pBdr>
          <w:top w:val="single" w:sz="4" w:space="1" w:color="auto"/>
          <w:left w:val="single" w:sz="4" w:space="4" w:color="auto"/>
          <w:bottom w:val="single" w:sz="4" w:space="1" w:color="auto"/>
          <w:right w:val="single" w:sz="4" w:space="4" w:color="auto"/>
        </w:pBdr>
        <w:rPr>
          <w:lang w:val="en-GB"/>
        </w:rPr>
      </w:pPr>
      <w:r w:rsidRPr="005D0CA5">
        <w:rPr>
          <w:lang w:val="en-GB"/>
        </w:rPr>
        <w:t>This investment aims at boosting innovation of Flanders’ economic operators through R&amp;D, with a particular focus on three areas: digitalisation, sustainability and health. Two different axes are foreseen. A first axis shall target R&amp;I projects in areas where Flanders already performs well, with a focus on sustainable, digital and health related activities. The second axis shall focus on instruments targeting R&amp;D support to companies. Under this axis R&amp;D projects can for example relate to the pharmaceutical sector, and to 3D printing technology. The support for the participation to the planned IPCEI on micro-electronic is also foreseen. Under the measure at least 200 projects shall be awarded covering all areas of intervention of the measure.</w:t>
      </w:r>
    </w:p>
    <w:p w14:paraId="2EBBB4F5" w14:textId="1E216486" w:rsidR="00DD6071" w:rsidRPr="00DD6071" w:rsidRDefault="005D0CA5" w:rsidP="005D0CA5">
      <w:pPr>
        <w:pBdr>
          <w:top w:val="single" w:sz="4" w:space="1" w:color="auto"/>
          <w:left w:val="single" w:sz="4" w:space="4" w:color="auto"/>
          <w:bottom w:val="single" w:sz="4" w:space="1" w:color="auto"/>
          <w:right w:val="single" w:sz="4" w:space="4" w:color="auto"/>
        </w:pBdr>
        <w:rPr>
          <w:lang w:val="en-GB"/>
        </w:rPr>
      </w:pPr>
      <w:r w:rsidRPr="005D0CA5">
        <w:rPr>
          <w:lang w:val="en-GB"/>
        </w:rPr>
        <w:t>In order to ensure that the measure complies with the ‘Do no significant harm’ Technical Guidance (2021/C58/01), the eligibility criteria contained in terms of reference for upcoming calls for projects shall exclude the following list of activities: (</w:t>
      </w:r>
      <w:proofErr w:type="spellStart"/>
      <w:r w:rsidRPr="005D0CA5">
        <w:rPr>
          <w:lang w:val="en-GB"/>
        </w:rPr>
        <w:t>i</w:t>
      </w:r>
      <w:proofErr w:type="spellEnd"/>
      <w:r w:rsidRPr="005D0CA5">
        <w:rPr>
          <w:lang w:val="en-GB"/>
        </w:rPr>
        <w:t>) activities related to fossil fuels, including downstream use; (ii) activities under the EU Emission Trading System achieving projected greenhouse gas emissions that are not lower than the relevant benchmarks12; (iii) activities related to waste landfills, incinerators13 and mechanical biological treatment plants14;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14:paraId="44AD2BD4" w14:textId="3377741C"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p w14:paraId="2F9FEBEA" w14:textId="31CF22AE" w:rsidR="009E2241" w:rsidRDefault="009E2241" w:rsidP="00212D8D">
      <w:pPr>
        <w:pBdr>
          <w:top w:val="single" w:sz="4" w:space="1" w:color="auto"/>
          <w:left w:val="single" w:sz="4" w:space="4" w:color="auto"/>
          <w:bottom w:val="single" w:sz="4" w:space="1" w:color="auto"/>
          <w:right w:val="single" w:sz="4" w:space="4" w:color="auto"/>
        </w:pBdr>
        <w:rPr>
          <w:lang w:val="en-GB"/>
        </w:rPr>
      </w:pPr>
      <w:r w:rsidRPr="009E2241">
        <w:rPr>
          <w:lang w:val="en-GB"/>
        </w:rPr>
        <w:t xml:space="preserve">Notification, by VLAIO and the ‘Departement Economie, </w:t>
      </w:r>
      <w:proofErr w:type="spellStart"/>
      <w:r w:rsidRPr="009E2241">
        <w:rPr>
          <w:lang w:val="en-GB"/>
        </w:rPr>
        <w:t>Wetenschap</w:t>
      </w:r>
      <w:proofErr w:type="spellEnd"/>
      <w:r w:rsidRPr="009E2241">
        <w:rPr>
          <w:lang w:val="en-GB"/>
        </w:rPr>
        <w:t xml:space="preserve"> en </w:t>
      </w:r>
      <w:proofErr w:type="spellStart"/>
      <w:r w:rsidRPr="009E2241">
        <w:rPr>
          <w:lang w:val="en-GB"/>
        </w:rPr>
        <w:t>Innovatie</w:t>
      </w:r>
      <w:proofErr w:type="spellEnd"/>
      <w:r w:rsidRPr="009E2241">
        <w:rPr>
          <w:lang w:val="en-GB"/>
        </w:rPr>
        <w:t>’ (EWI), of the award of 2</w:t>
      </w:r>
      <w:r w:rsidR="003D28FB">
        <w:rPr>
          <w:lang w:val="en-GB"/>
        </w:rPr>
        <w:t>0</w:t>
      </w:r>
      <w:r w:rsidRPr="009E2241">
        <w:rPr>
          <w:lang w:val="en-GB"/>
        </w:rPr>
        <w:t>0 projects to the successful candidates following the call for proposals, with terms of reference including eligibility criteria that ensure that the selected projects comply with the ‘Do no significant harm’ Technical Guidance (2021/C58/01) through the use of an exclusion list and the requirement of compliance with the relevant EU and national environmental legislation. For projects awarded through grant schemes that do not work with calls for projects, compliance with the technical guidelines "do no significant harm" (2021/C58/01) is also enforced through an eligibility criterion based on the same exclusion list and the requirement of compliance with relevant EU and national environmental legislation.</w:t>
      </w:r>
    </w:p>
    <w:p w14:paraId="76418D0F" w14:textId="5226A54A"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V</w:t>
      </w:r>
      <w:r w:rsidR="0C0FE71B" w:rsidRPr="488DBBB0">
        <w:rPr>
          <w:b/>
          <w:bCs/>
          <w:u w:val="single"/>
          <w:lang w:val="en-GB"/>
        </w:rPr>
        <w:t>erification mechanism</w:t>
      </w:r>
      <w:r w:rsidR="001576BD">
        <w:rPr>
          <w:b/>
          <w:bCs/>
          <w:u w:val="single"/>
          <w:lang w:val="en-GB"/>
        </w:rPr>
        <w:t>:</w:t>
      </w:r>
    </w:p>
    <w:p w14:paraId="16E70800"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w:t>
      </w:r>
    </w:p>
    <w:p w14:paraId="382A9748" w14:textId="4FB97836"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1. Spreadsheet listing the 2</w:t>
      </w:r>
      <w:r w:rsidR="003D28FB">
        <w:rPr>
          <w:lang w:val="en-US"/>
        </w:rPr>
        <w:t>0</w:t>
      </w:r>
      <w:r w:rsidRPr="00E1327D">
        <w:rPr>
          <w:lang w:val="en-US"/>
        </w:rPr>
        <w:t>0 selected projects including for each one: the unique identifier, the name of the project (where applicable), the beneficiary, the amount committed to each beneficiary (also evidencing that EUR 2</w:t>
      </w:r>
      <w:r w:rsidR="003D28FB">
        <w:rPr>
          <w:lang w:val="en-US"/>
        </w:rPr>
        <w:t>20</w:t>
      </w:r>
      <w:r w:rsidRPr="00E1327D">
        <w:rPr>
          <w:lang w:val="en-US"/>
        </w:rPr>
        <w:t xml:space="preserve"> </w:t>
      </w:r>
      <w:r w:rsidR="003D28FB">
        <w:rPr>
          <w:lang w:val="en-US"/>
        </w:rPr>
        <w:t>5</w:t>
      </w:r>
      <w:r w:rsidRPr="00E1327D">
        <w:rPr>
          <w:lang w:val="en-US"/>
        </w:rPr>
        <w:t xml:space="preserve">00 000 has been committed), a brief description of the project, </w:t>
      </w:r>
      <w:r w:rsidRPr="00E1327D">
        <w:rPr>
          <w:lang w:val="en-US"/>
        </w:rPr>
        <w:lastRenderedPageBreak/>
        <w:t xml:space="preserve">including the name of the </w:t>
      </w:r>
      <w:proofErr w:type="spellStart"/>
      <w:r w:rsidRPr="00E1327D">
        <w:rPr>
          <w:lang w:val="en-US"/>
        </w:rPr>
        <w:t>programme</w:t>
      </w:r>
      <w:proofErr w:type="spellEnd"/>
      <w:r w:rsidRPr="00E1327D">
        <w:rPr>
          <w:lang w:val="en-US"/>
        </w:rPr>
        <w:t xml:space="preserve"> under which it was selected, reference of the notified contract award and the indication of the reference of the call in which the project was selected or indication of whether the project was selected based on an application under the general grant scheme. For each awarded project with activities under the EU ETS, the location, the Installation ID/Aircraft Operator ID in the European Union Transaction Log (EUTL) and justification that the projected level of GHG emissions per unit of product will be significantly lower than the relevant benchmarks.</w:t>
      </w:r>
    </w:p>
    <w:p w14:paraId="54FA703C"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For projects selected via calls for proposals:</w:t>
      </w:r>
    </w:p>
    <w:p w14:paraId="26B087CA"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2. Copy of published terms of reference for the competitive calls for proposals (link to the call, specification of the period when call was open for applicants and the technical specifications of the call).</w:t>
      </w:r>
    </w:p>
    <w:p w14:paraId="5D5609A0"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3. Extracts from the terms of reference for the call for proposals that ensure compliance with the ’Do no significant harm’ Technical Guidance (2021/C58/01) as specified in the CID annex.</w:t>
      </w:r>
    </w:p>
    <w:p w14:paraId="48BC36A3"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For projects selected via general grant schemes:</w:t>
      </w:r>
    </w:p>
    <w:p w14:paraId="7788DA30"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4. Copy of the published grant schemes conditions</w:t>
      </w:r>
    </w:p>
    <w:p w14:paraId="4C8EA0FA" w14:textId="77777777" w:rsidR="00AE7B07"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 xml:space="preserve">5. Copy of the internal assessment guidance document explaining how compliance of each projects with the DNSH conditions set in the milestone has been assessed. </w:t>
      </w:r>
    </w:p>
    <w:p w14:paraId="58274E82" w14:textId="5F334298"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 xml:space="preserve">On the basis of a sample that may be selected by the Commission, the following documentary evidence shall be submitted for each of the units (project or </w:t>
      </w:r>
      <w:proofErr w:type="spellStart"/>
      <w:r w:rsidRPr="00E1327D">
        <w:rPr>
          <w:lang w:val="en-US"/>
        </w:rPr>
        <w:t>programme</w:t>
      </w:r>
      <w:proofErr w:type="spellEnd"/>
      <w:r w:rsidRPr="00E1327D">
        <w:rPr>
          <w:lang w:val="en-US"/>
        </w:rPr>
        <w:t>) selected:</w:t>
      </w:r>
    </w:p>
    <w:p w14:paraId="76FBC0CB"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A. For projects working with calls for proposals</w:t>
      </w:r>
    </w:p>
    <w:p w14:paraId="33201758"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1) copy of contract award notification;</w:t>
      </w:r>
    </w:p>
    <w:p w14:paraId="712C5E83"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2) an abstract of the application demonstrating compliance with the ’Do no significant harm’ Technical Guidance (2021/C58/01) as specified in the CID annex or an abstract of the official database containing the final internal assessment of compliance with the ’Do no significant harm’ Technical Guidance (2021/C58/01) as specified in the CID annex or for the projects awarded before the adoption of the CID a copy of the agreement making the grant award conditional on compliance with the ’Do no significant harm’ Technical Guidance (2021/C58/01) as specified in the CID annex and with the relevant EU and national environmental legislation.</w:t>
      </w:r>
    </w:p>
    <w:p w14:paraId="4E32B5BC"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B. For projects selected under the general grant schemes (for projects not selected based on a call for projects):</w:t>
      </w:r>
    </w:p>
    <w:p w14:paraId="0A72C7BD" w14:textId="77777777" w:rsidR="00E1327D" w:rsidRPr="00E1327D"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1) an extract of the official database containing the final internal assessment of compliance with the ’Do no significant harm’ Technical Guidance (2021/C58/01) as specified in the CID annex;</w:t>
      </w:r>
    </w:p>
    <w:p w14:paraId="252D09E5" w14:textId="73068D89" w:rsidR="002B2C14" w:rsidRDefault="00E1327D" w:rsidP="00E1327D">
      <w:pPr>
        <w:pBdr>
          <w:top w:val="single" w:sz="4" w:space="1" w:color="auto"/>
          <w:left w:val="single" w:sz="4" w:space="4" w:color="auto"/>
          <w:bottom w:val="single" w:sz="4" w:space="1" w:color="auto"/>
          <w:right w:val="single" w:sz="4" w:space="4" w:color="auto"/>
        </w:pBdr>
        <w:rPr>
          <w:lang w:val="en-US"/>
        </w:rPr>
      </w:pPr>
      <w:r w:rsidRPr="00E1327D">
        <w:rPr>
          <w:lang w:val="en-US"/>
        </w:rPr>
        <w:t xml:space="preserve">2) copy of the financing agreement (notification of the grant award) </w:t>
      </w:r>
      <w:r w:rsidR="003D28FB">
        <w:rPr>
          <w:lang w:val="en-US"/>
        </w:rPr>
        <w:t xml:space="preserve">or communication </w:t>
      </w:r>
      <w:r w:rsidRPr="00E1327D">
        <w:rPr>
          <w:lang w:val="en-US"/>
        </w:rPr>
        <w:t xml:space="preserve">making the grant award </w:t>
      </w:r>
      <w:r w:rsidR="003D28FB">
        <w:rPr>
          <w:lang w:val="en-US"/>
        </w:rPr>
        <w:t xml:space="preserve">to the recipient of the grant </w:t>
      </w:r>
      <w:r w:rsidRPr="00E1327D">
        <w:rPr>
          <w:lang w:val="en-US"/>
        </w:rPr>
        <w:t>conditional to the compliance with the ’Do no significant harm’ Technical Guidance (2021/C58/01) as specified in the CID annex and to the relevant EU and national environmental legislation</w:t>
      </w:r>
      <w:r w:rsidR="007A4015" w:rsidRPr="007A4015">
        <w:rPr>
          <w:lang w:val="en-US"/>
        </w:rPr>
        <w:t>.</w:t>
      </w:r>
    </w:p>
    <w:p w14:paraId="22A36A8B" w14:textId="77777777" w:rsidR="003D28FB" w:rsidRPr="007A4015" w:rsidRDefault="003D28FB" w:rsidP="00E1327D">
      <w:pPr>
        <w:pBdr>
          <w:top w:val="single" w:sz="4" w:space="1" w:color="auto"/>
          <w:left w:val="single" w:sz="4" w:space="4" w:color="auto"/>
          <w:bottom w:val="single" w:sz="4" w:space="1" w:color="auto"/>
          <w:right w:val="single" w:sz="4" w:space="4" w:color="auto"/>
        </w:pBdr>
        <w:rPr>
          <w:lang w:val="en-US"/>
        </w:rPr>
      </w:pPr>
    </w:p>
    <w:p w14:paraId="5D9D4E3E" w14:textId="18D15C80" w:rsidR="00AC44FF" w:rsidRDefault="001576BD" w:rsidP="009C1B25">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1431E4F0" w14:textId="69741846" w:rsidR="00E8109B" w:rsidRDefault="003D28FB" w:rsidP="00EF2704">
      <w:pPr>
        <w:pStyle w:val="Lijstalinea"/>
        <w:numPr>
          <w:ilvl w:val="0"/>
          <w:numId w:val="13"/>
        </w:numPr>
        <w:rPr>
          <w:lang w:val="en-US"/>
        </w:rPr>
      </w:pPr>
      <w:r w:rsidRPr="4269C4A0">
        <w:rPr>
          <w:u w:val="single"/>
          <w:lang w:val="en-US"/>
        </w:rPr>
        <w:t>Annex 1. Spreadsheet of selected projects</w:t>
      </w:r>
      <w:r w:rsidRPr="0001743B">
        <w:rPr>
          <w:lang w:val="en-US"/>
        </w:rPr>
        <w:t>: List of projects supported under measure 5.11</w:t>
      </w:r>
    </w:p>
    <w:p w14:paraId="49732F71" w14:textId="711E6163" w:rsidR="00B0586C" w:rsidRDefault="0076664C" w:rsidP="00EF2704">
      <w:pPr>
        <w:pStyle w:val="Lijstalinea"/>
        <w:numPr>
          <w:ilvl w:val="0"/>
          <w:numId w:val="13"/>
        </w:numPr>
        <w:rPr>
          <w:lang w:val="en-US"/>
        </w:rPr>
      </w:pPr>
      <w:r>
        <w:rPr>
          <w:u w:val="single"/>
          <w:lang w:val="en-US"/>
        </w:rPr>
        <w:lastRenderedPageBreak/>
        <w:t>Annex 1</w:t>
      </w:r>
      <w:r w:rsidRPr="00B0586C">
        <w:rPr>
          <w:u w:val="single"/>
          <w:lang w:val="en-US"/>
        </w:rPr>
        <w:t xml:space="preserve">b. </w:t>
      </w:r>
      <w:r w:rsidR="00A86F56" w:rsidRPr="00B0586C">
        <w:rPr>
          <w:u w:val="single"/>
          <w:lang w:val="en-US"/>
        </w:rPr>
        <w:t>Grant Agreement PREVAIL</w:t>
      </w:r>
      <w:r w:rsidR="00B0586C" w:rsidRPr="00B0586C">
        <w:rPr>
          <w:u w:val="single"/>
          <w:lang w:val="en-US"/>
        </w:rPr>
        <w:t>.pdf</w:t>
      </w:r>
      <w:r w:rsidR="00B0586C">
        <w:rPr>
          <w:lang w:val="en-US"/>
        </w:rPr>
        <w:t xml:space="preserve"> (17/11/2022)</w:t>
      </w:r>
      <w:r w:rsidR="00084E8D">
        <w:rPr>
          <w:lang w:val="en-US"/>
        </w:rPr>
        <w:t xml:space="preserve">: grant agreement for the IMEC DEP-project </w:t>
      </w:r>
    </w:p>
    <w:p w14:paraId="0252405C" w14:textId="7C9EEB50" w:rsidR="00084E8D" w:rsidRPr="00084E8D" w:rsidRDefault="00084E8D" w:rsidP="00C52FF7">
      <w:pPr>
        <w:pStyle w:val="Lijstalinea"/>
        <w:numPr>
          <w:ilvl w:val="0"/>
          <w:numId w:val="13"/>
        </w:numPr>
        <w:rPr>
          <w:u w:val="single"/>
          <w:lang w:val="en-GB"/>
        </w:rPr>
      </w:pPr>
      <w:r w:rsidRPr="00084E8D">
        <w:rPr>
          <w:u w:val="single"/>
          <w:lang w:val="en-GB"/>
        </w:rPr>
        <w:t>Annex 1c. TEFHW4AI - PREVAIL costing (RRF-DEP).docx</w:t>
      </w:r>
      <w:r>
        <w:rPr>
          <w:u w:val="single"/>
          <w:lang w:val="en-GB"/>
        </w:rPr>
        <w:t>:</w:t>
      </w:r>
      <w:r w:rsidRPr="00BB7CBC">
        <w:rPr>
          <w:lang w:val="en-GB"/>
        </w:rPr>
        <w:t xml:space="preserve"> </w:t>
      </w:r>
      <w:r w:rsidR="00BB7CBC" w:rsidRPr="00BB7CBC">
        <w:rPr>
          <w:lang w:val="en-GB"/>
        </w:rPr>
        <w:t>short</w:t>
      </w:r>
      <w:r w:rsidR="00BB7CBC" w:rsidRPr="00AA268F">
        <w:rPr>
          <w:lang w:val="en-GB"/>
        </w:rPr>
        <w:t xml:space="preserve"> </w:t>
      </w:r>
      <w:r w:rsidRPr="00AA268F">
        <w:rPr>
          <w:lang w:val="en-GB"/>
        </w:rPr>
        <w:t>d</w:t>
      </w:r>
      <w:r w:rsidRPr="00BB7CBC">
        <w:rPr>
          <w:lang w:val="en-GB"/>
        </w:rPr>
        <w:t xml:space="preserve">escription of the costing for the RRF </w:t>
      </w:r>
      <w:r w:rsidR="00BB7CBC" w:rsidRPr="00BB7CBC">
        <w:rPr>
          <w:lang w:val="en-GB"/>
        </w:rPr>
        <w:t>–</w:t>
      </w:r>
      <w:r w:rsidRPr="00BB7CBC">
        <w:rPr>
          <w:lang w:val="en-GB"/>
        </w:rPr>
        <w:t xml:space="preserve"> </w:t>
      </w:r>
      <w:r w:rsidR="00BB7CBC" w:rsidRPr="00BB7CBC">
        <w:rPr>
          <w:lang w:val="en-GB"/>
        </w:rPr>
        <w:t>DEP-project from IMEC (VV</w:t>
      </w:r>
      <w:r w:rsidR="00857AB3">
        <w:rPr>
          <w:lang w:val="en-GB"/>
        </w:rPr>
        <w:t>0</w:t>
      </w:r>
      <w:r w:rsidR="00BB7CBC" w:rsidRPr="00BB7CBC">
        <w:rPr>
          <w:lang w:val="en-GB"/>
        </w:rPr>
        <w:t>23/11)</w:t>
      </w:r>
    </w:p>
    <w:p w14:paraId="644E0EB1" w14:textId="6B143C17" w:rsidR="00A8098D" w:rsidRPr="000301ED" w:rsidRDefault="00DC7A14" w:rsidP="00C52FF7">
      <w:pPr>
        <w:pStyle w:val="Lijstalinea"/>
        <w:numPr>
          <w:ilvl w:val="0"/>
          <w:numId w:val="13"/>
        </w:numPr>
        <w:rPr>
          <w:lang w:val="en-GB"/>
        </w:rPr>
      </w:pPr>
      <w:r w:rsidRPr="0CEE359B">
        <w:rPr>
          <w:u w:val="single"/>
          <w:lang w:val="en-US"/>
        </w:rPr>
        <w:t>Annex 2</w:t>
      </w:r>
      <w:r w:rsidR="0E44A1B9" w:rsidRPr="0CEE359B">
        <w:rPr>
          <w:u w:val="single"/>
          <w:lang w:val="en-US"/>
        </w:rPr>
        <w:t>a</w:t>
      </w:r>
      <w:r w:rsidR="1E6674F0" w:rsidRPr="0CEE359B">
        <w:rPr>
          <w:u w:val="single"/>
          <w:lang w:val="en-US"/>
        </w:rPr>
        <w:t>.</w:t>
      </w:r>
      <w:r w:rsidRPr="0CEE359B">
        <w:rPr>
          <w:u w:val="single"/>
          <w:lang w:val="en-US"/>
        </w:rPr>
        <w:t xml:space="preserve"> OIHS 2022 </w:t>
      </w:r>
      <w:proofErr w:type="spellStart"/>
      <w:r w:rsidRPr="0CEE359B">
        <w:rPr>
          <w:u w:val="single"/>
          <w:lang w:val="en-US"/>
        </w:rPr>
        <w:t>Ministerieel</w:t>
      </w:r>
      <w:proofErr w:type="spellEnd"/>
      <w:r w:rsidRPr="0CEE359B">
        <w:rPr>
          <w:u w:val="single"/>
          <w:lang w:val="en-US"/>
        </w:rPr>
        <w:t xml:space="preserve"> </w:t>
      </w:r>
      <w:proofErr w:type="spellStart"/>
      <w:r w:rsidRPr="0CEE359B">
        <w:rPr>
          <w:u w:val="single"/>
          <w:lang w:val="en-US"/>
        </w:rPr>
        <w:t>Besluit</w:t>
      </w:r>
      <w:proofErr w:type="spellEnd"/>
      <w:r w:rsidRPr="0CEE359B">
        <w:rPr>
          <w:u w:val="single"/>
          <w:lang w:val="en-US"/>
        </w:rPr>
        <w:t xml:space="preserve"> en </w:t>
      </w:r>
      <w:proofErr w:type="spellStart"/>
      <w:r w:rsidRPr="0CEE359B">
        <w:rPr>
          <w:u w:val="single"/>
          <w:lang w:val="en-US"/>
        </w:rPr>
        <w:t>handleiding</w:t>
      </w:r>
      <w:proofErr w:type="spellEnd"/>
      <w:r w:rsidR="54C8168A" w:rsidRPr="0CEE359B">
        <w:rPr>
          <w:lang w:val="en-US"/>
        </w:rPr>
        <w:t>: Ministerial Decree (of the Flemish Government) concerning research infrastructure for university colleges</w:t>
      </w:r>
    </w:p>
    <w:p w14:paraId="39D0F470" w14:textId="289FFDCD" w:rsidR="71AE697A" w:rsidRDefault="71AE697A" w:rsidP="0CEE359B">
      <w:pPr>
        <w:pStyle w:val="Lijstalinea"/>
        <w:numPr>
          <w:ilvl w:val="0"/>
          <w:numId w:val="13"/>
        </w:numPr>
        <w:rPr>
          <w:lang w:val="en-GB"/>
        </w:rPr>
      </w:pPr>
      <w:r w:rsidRPr="0CEE359B">
        <w:rPr>
          <w:u w:val="single"/>
          <w:lang w:val="en-GB"/>
        </w:rPr>
        <w:t>Annex 2b. MB_OIHS_2021_Getekend</w:t>
      </w:r>
      <w:r w:rsidRPr="0CEE359B">
        <w:rPr>
          <w:lang w:val="en-GB"/>
        </w:rPr>
        <w:t xml:space="preserve">: </w:t>
      </w:r>
      <w:r w:rsidR="59C563B7" w:rsidRPr="0CEE359B">
        <w:rPr>
          <w:lang w:val="en-GB"/>
        </w:rPr>
        <w:t xml:space="preserve">Signed </w:t>
      </w:r>
      <w:r w:rsidR="298B3DAA" w:rsidRPr="0CEE359B">
        <w:rPr>
          <w:lang w:val="en-GB"/>
        </w:rPr>
        <w:t>Mi</w:t>
      </w:r>
      <w:r w:rsidRPr="0CEE359B">
        <w:rPr>
          <w:lang w:val="en-GB"/>
        </w:rPr>
        <w:t>nisterial Decree (of the Flemish Government) for the project call research infrastructure for university colleges in 2021</w:t>
      </w:r>
    </w:p>
    <w:p w14:paraId="7D77FF8B" w14:textId="2AC6CFAE" w:rsidR="71AE697A" w:rsidRDefault="71AE697A" w:rsidP="0CEE359B">
      <w:pPr>
        <w:pStyle w:val="Lijstalinea"/>
        <w:numPr>
          <w:ilvl w:val="0"/>
          <w:numId w:val="13"/>
        </w:numPr>
        <w:rPr>
          <w:lang w:val="en-GB"/>
        </w:rPr>
      </w:pPr>
      <w:r w:rsidRPr="0CEE359B">
        <w:rPr>
          <w:u w:val="single"/>
          <w:lang w:val="en-GB"/>
        </w:rPr>
        <w:t>Annex 2</w:t>
      </w:r>
      <w:r w:rsidR="5CA3F121" w:rsidRPr="0CEE359B">
        <w:rPr>
          <w:u w:val="single"/>
          <w:lang w:val="en-GB"/>
        </w:rPr>
        <w:t>c</w:t>
      </w:r>
      <w:r w:rsidRPr="0CEE359B">
        <w:rPr>
          <w:u w:val="single"/>
          <w:lang w:val="en-GB"/>
        </w:rPr>
        <w:t>. MB_OIHS_2022</w:t>
      </w:r>
      <w:r w:rsidRPr="0CEE359B">
        <w:rPr>
          <w:lang w:val="en-GB"/>
        </w:rPr>
        <w:t xml:space="preserve">: </w:t>
      </w:r>
      <w:r w:rsidR="6F1E62E8" w:rsidRPr="0CEE359B">
        <w:rPr>
          <w:lang w:val="en-GB"/>
        </w:rPr>
        <w:t xml:space="preserve">Signed </w:t>
      </w:r>
      <w:r w:rsidR="431E217B" w:rsidRPr="0CEE359B">
        <w:rPr>
          <w:lang w:val="en-GB"/>
        </w:rPr>
        <w:t>M</w:t>
      </w:r>
      <w:r w:rsidRPr="0CEE359B">
        <w:rPr>
          <w:lang w:val="en-GB"/>
        </w:rPr>
        <w:t>inisterial Decree (of the Flemish Government) for the project call research infrastructure for university colleges in 2022</w:t>
      </w:r>
    </w:p>
    <w:p w14:paraId="0648A378" w14:textId="19C003DF" w:rsidR="00DF0274" w:rsidRPr="000301ED" w:rsidRDefault="00DF0274" w:rsidP="008A75EE">
      <w:pPr>
        <w:pStyle w:val="Lijstalinea"/>
        <w:numPr>
          <w:ilvl w:val="0"/>
          <w:numId w:val="13"/>
        </w:numPr>
        <w:rPr>
          <w:lang w:val="en-GB"/>
        </w:rPr>
      </w:pPr>
      <w:r w:rsidRPr="0CEE359B">
        <w:rPr>
          <w:u w:val="single"/>
          <w:lang w:val="en-US"/>
        </w:rPr>
        <w:t>Annex 3</w:t>
      </w:r>
      <w:r w:rsidR="3E212F2D" w:rsidRPr="0CEE359B">
        <w:rPr>
          <w:u w:val="single"/>
          <w:lang w:val="en-US"/>
        </w:rPr>
        <w:t>a</w:t>
      </w:r>
      <w:r w:rsidR="01610885" w:rsidRPr="0CEE359B">
        <w:rPr>
          <w:u w:val="single"/>
          <w:lang w:val="en-US"/>
        </w:rPr>
        <w:t>.</w:t>
      </w:r>
      <w:r w:rsidRPr="0CEE359B">
        <w:rPr>
          <w:u w:val="single"/>
          <w:lang w:val="en-US"/>
        </w:rPr>
        <w:t xml:space="preserve"> Template </w:t>
      </w:r>
      <w:proofErr w:type="spellStart"/>
      <w:r w:rsidRPr="0CEE359B">
        <w:rPr>
          <w:u w:val="single"/>
          <w:lang w:val="en-US"/>
        </w:rPr>
        <w:t>Piloottrajecten</w:t>
      </w:r>
      <w:proofErr w:type="spellEnd"/>
      <w:r w:rsidRPr="0CEE359B">
        <w:rPr>
          <w:u w:val="single"/>
          <w:lang w:val="en-US"/>
        </w:rPr>
        <w:t xml:space="preserve"> </w:t>
      </w:r>
      <w:proofErr w:type="spellStart"/>
      <w:r w:rsidRPr="0CEE359B">
        <w:rPr>
          <w:u w:val="single"/>
          <w:lang w:val="en-US"/>
        </w:rPr>
        <w:t>biogebaseerde</w:t>
      </w:r>
      <w:proofErr w:type="spellEnd"/>
      <w:r w:rsidRPr="0CEE359B">
        <w:rPr>
          <w:u w:val="single"/>
          <w:lang w:val="en-US"/>
        </w:rPr>
        <w:t xml:space="preserve"> </w:t>
      </w:r>
      <w:proofErr w:type="spellStart"/>
      <w:r w:rsidRPr="0CEE359B">
        <w:rPr>
          <w:u w:val="single"/>
          <w:lang w:val="en-US"/>
        </w:rPr>
        <w:t>toepassingen</w:t>
      </w:r>
      <w:proofErr w:type="spellEnd"/>
      <w:r w:rsidR="753D8CDA" w:rsidRPr="0CEE359B">
        <w:rPr>
          <w:lang w:val="en-US"/>
        </w:rPr>
        <w:t>: Template to fill in for a project application for pilot trajectories biobased applications</w:t>
      </w:r>
    </w:p>
    <w:p w14:paraId="6DA3E7E4" w14:textId="407F6D9A" w:rsidR="00C52FF7" w:rsidRPr="000301ED" w:rsidRDefault="00D826AE" w:rsidP="008A75EE">
      <w:pPr>
        <w:pStyle w:val="Lijstalinea"/>
        <w:numPr>
          <w:ilvl w:val="0"/>
          <w:numId w:val="13"/>
        </w:numPr>
        <w:rPr>
          <w:lang w:val="en-GB"/>
        </w:rPr>
      </w:pPr>
      <w:r w:rsidRPr="0CEE359B">
        <w:rPr>
          <w:u w:val="single"/>
          <w:lang w:val="en-US"/>
        </w:rPr>
        <w:t>Annex 3b</w:t>
      </w:r>
      <w:r w:rsidR="4D694C34" w:rsidRPr="0CEE359B">
        <w:rPr>
          <w:u w:val="single"/>
          <w:lang w:val="en-US"/>
        </w:rPr>
        <w:t>.</w:t>
      </w:r>
      <w:r w:rsidRPr="0CEE359B">
        <w:rPr>
          <w:u w:val="single"/>
          <w:lang w:val="en-US"/>
        </w:rPr>
        <w:t xml:space="preserve"> </w:t>
      </w:r>
      <w:proofErr w:type="spellStart"/>
      <w:r w:rsidRPr="0CEE359B">
        <w:rPr>
          <w:u w:val="single"/>
          <w:lang w:val="en-US"/>
        </w:rPr>
        <w:t>OI_HS_oproep</w:t>
      </w:r>
      <w:proofErr w:type="spellEnd"/>
      <w:r w:rsidRPr="0CEE359B">
        <w:rPr>
          <w:u w:val="single"/>
          <w:lang w:val="en-US"/>
        </w:rPr>
        <w:t xml:space="preserve"> 2021_Handleiding</w:t>
      </w:r>
      <w:r w:rsidR="4FB217D8" w:rsidRPr="0CEE359B">
        <w:rPr>
          <w:lang w:val="en-US"/>
        </w:rPr>
        <w:t>: Guide for research infrastructure for university colleges project applications</w:t>
      </w:r>
    </w:p>
    <w:p w14:paraId="42717216" w14:textId="436FBD73" w:rsidR="00D826AE" w:rsidRPr="0001743B" w:rsidRDefault="007833E9" w:rsidP="008A75EE">
      <w:pPr>
        <w:pStyle w:val="Lijstalinea"/>
        <w:numPr>
          <w:ilvl w:val="0"/>
          <w:numId w:val="13"/>
        </w:numPr>
        <w:rPr>
          <w:lang w:val="en-US"/>
        </w:rPr>
      </w:pPr>
      <w:r w:rsidRPr="0CEE359B">
        <w:rPr>
          <w:u w:val="single"/>
          <w:lang w:val="en-US"/>
        </w:rPr>
        <w:t>Annex 3</w:t>
      </w:r>
      <w:r w:rsidR="200DA0CC" w:rsidRPr="0CEE359B">
        <w:rPr>
          <w:u w:val="single"/>
          <w:lang w:val="en-US"/>
        </w:rPr>
        <w:t>c.</w:t>
      </w:r>
      <w:r w:rsidRPr="0CEE359B">
        <w:rPr>
          <w:u w:val="single"/>
          <w:lang w:val="en-US"/>
        </w:rPr>
        <w:t xml:space="preserve"> Onderzoeksinfrastructuur </w:t>
      </w:r>
      <w:proofErr w:type="spellStart"/>
      <w:r w:rsidRPr="0CEE359B">
        <w:rPr>
          <w:u w:val="single"/>
          <w:lang w:val="en-US"/>
        </w:rPr>
        <w:t>Hogescholen</w:t>
      </w:r>
      <w:proofErr w:type="spellEnd"/>
      <w:r w:rsidRPr="0CEE359B">
        <w:rPr>
          <w:u w:val="single"/>
          <w:lang w:val="en-US"/>
        </w:rPr>
        <w:t xml:space="preserve"> - </w:t>
      </w:r>
      <w:proofErr w:type="spellStart"/>
      <w:r w:rsidRPr="0CEE359B">
        <w:rPr>
          <w:u w:val="single"/>
          <w:lang w:val="en-US"/>
        </w:rPr>
        <w:t>Sjabloon</w:t>
      </w:r>
      <w:proofErr w:type="spellEnd"/>
      <w:r w:rsidRPr="0CEE359B">
        <w:rPr>
          <w:u w:val="single"/>
          <w:lang w:val="en-US"/>
        </w:rPr>
        <w:t xml:space="preserve"> DNSH-analy</w:t>
      </w:r>
      <w:r w:rsidR="0001743B" w:rsidRPr="0CEE359B">
        <w:rPr>
          <w:u w:val="single"/>
          <w:lang w:val="en-US"/>
        </w:rPr>
        <w:t>s</w:t>
      </w:r>
      <w:r w:rsidRPr="0CEE359B">
        <w:rPr>
          <w:u w:val="single"/>
          <w:lang w:val="en-US"/>
        </w:rPr>
        <w:t>e</w:t>
      </w:r>
      <w:r w:rsidR="0001743B" w:rsidRPr="0CEE359B">
        <w:rPr>
          <w:u w:val="single"/>
          <w:lang w:val="en-US"/>
        </w:rPr>
        <w:t>-</w:t>
      </w:r>
      <w:r w:rsidRPr="0CEE359B">
        <w:rPr>
          <w:u w:val="single"/>
          <w:lang w:val="en-US"/>
        </w:rPr>
        <w:t>OIHS_2021</w:t>
      </w:r>
      <w:r w:rsidR="27F09D44" w:rsidRPr="0CEE359B">
        <w:rPr>
          <w:u w:val="single"/>
          <w:lang w:val="en-US"/>
        </w:rPr>
        <w:t>:</w:t>
      </w:r>
      <w:r w:rsidR="27F09D44" w:rsidRPr="0CEE359B">
        <w:rPr>
          <w:lang w:val="en-US"/>
        </w:rPr>
        <w:t xml:space="preserve"> Template for DNSH analysis for research infrastructure for university colleges</w:t>
      </w:r>
    </w:p>
    <w:p w14:paraId="0FF0FC83" w14:textId="6A83CC2B" w:rsidR="007833E9" w:rsidRPr="0001743B" w:rsidRDefault="00B7091D" w:rsidP="008A75EE">
      <w:pPr>
        <w:pStyle w:val="Lijstalinea"/>
        <w:numPr>
          <w:ilvl w:val="0"/>
          <w:numId w:val="13"/>
        </w:numPr>
        <w:rPr>
          <w:u w:val="single"/>
          <w:lang w:val="en-GB"/>
        </w:rPr>
      </w:pPr>
      <w:r w:rsidRPr="0CEE359B">
        <w:rPr>
          <w:u w:val="single"/>
          <w:lang w:val="en-GB"/>
        </w:rPr>
        <w:t>Annex 3d</w:t>
      </w:r>
      <w:r w:rsidR="3E3479CB" w:rsidRPr="0CEE359B">
        <w:rPr>
          <w:u w:val="single"/>
          <w:lang w:val="en-GB"/>
        </w:rPr>
        <w:t>.</w:t>
      </w:r>
      <w:r w:rsidRPr="0CEE359B">
        <w:rPr>
          <w:u w:val="single"/>
          <w:lang w:val="en-GB"/>
        </w:rPr>
        <w:t xml:space="preserve"> </w:t>
      </w:r>
      <w:proofErr w:type="spellStart"/>
      <w:r w:rsidRPr="0CEE359B">
        <w:rPr>
          <w:u w:val="single"/>
          <w:lang w:val="en-GB"/>
        </w:rPr>
        <w:t>Sjabloon</w:t>
      </w:r>
      <w:proofErr w:type="spellEnd"/>
      <w:r w:rsidRPr="0CEE359B">
        <w:rPr>
          <w:u w:val="single"/>
          <w:lang w:val="en-GB"/>
        </w:rPr>
        <w:t xml:space="preserve"> DNSH-analyse</w:t>
      </w:r>
      <w:r w:rsidR="19230D10" w:rsidRPr="0CEE359B">
        <w:rPr>
          <w:u w:val="single"/>
          <w:lang w:val="en-GB"/>
        </w:rPr>
        <w:t>:</w:t>
      </w:r>
      <w:r w:rsidR="19230D10" w:rsidRPr="0CEE359B">
        <w:rPr>
          <w:lang w:val="en-GB"/>
        </w:rPr>
        <w:t xml:space="preserve"> General template for DNSH analysis</w:t>
      </w:r>
    </w:p>
    <w:p w14:paraId="790052A0" w14:textId="508CFF7B" w:rsidR="0001743B" w:rsidRPr="00B7091D" w:rsidRDefault="0001743B" w:rsidP="36243E72">
      <w:pPr>
        <w:pStyle w:val="Lijstalinea"/>
        <w:numPr>
          <w:ilvl w:val="0"/>
          <w:numId w:val="13"/>
        </w:numPr>
        <w:rPr>
          <w:u w:val="single"/>
          <w:lang w:val="en-GB"/>
        </w:rPr>
      </w:pPr>
      <w:r w:rsidRPr="0CEE359B">
        <w:rPr>
          <w:u w:val="single"/>
          <w:lang w:val="en-GB"/>
        </w:rPr>
        <w:t>Annex 3</w:t>
      </w:r>
      <w:r w:rsidR="0C63386A" w:rsidRPr="0CEE359B">
        <w:rPr>
          <w:u w:val="single"/>
          <w:lang w:val="en-GB"/>
        </w:rPr>
        <w:t>e.</w:t>
      </w:r>
      <w:r w:rsidRPr="0CEE359B">
        <w:rPr>
          <w:u w:val="single"/>
          <w:lang w:val="en-GB"/>
        </w:rPr>
        <w:t xml:space="preserve"> Grant agreement VV023-11</w:t>
      </w:r>
      <w:r w:rsidR="49878028" w:rsidRPr="0CEE359B">
        <w:rPr>
          <w:u w:val="single"/>
          <w:lang w:val="en-GB"/>
        </w:rPr>
        <w:t>:</w:t>
      </w:r>
      <w:r w:rsidR="49878028" w:rsidRPr="0CEE359B">
        <w:rPr>
          <w:lang w:val="en-GB"/>
        </w:rPr>
        <w:t xml:space="preserve"> Grant agreement for the Digital Europe project call</w:t>
      </w:r>
    </w:p>
    <w:p w14:paraId="1E6C9726" w14:textId="74C406EA" w:rsidR="57DAB1FE" w:rsidRDefault="57DAB1FE" w:rsidP="4269C4A0">
      <w:pPr>
        <w:pStyle w:val="Lijstalinea"/>
        <w:numPr>
          <w:ilvl w:val="0"/>
          <w:numId w:val="13"/>
        </w:numPr>
        <w:rPr>
          <w:lang w:val="en-US"/>
        </w:rPr>
      </w:pPr>
      <w:proofErr w:type="spellStart"/>
      <w:r w:rsidRPr="0CEE359B">
        <w:rPr>
          <w:u w:val="single"/>
        </w:rPr>
        <w:t>Annex</w:t>
      </w:r>
      <w:proofErr w:type="spellEnd"/>
      <w:r w:rsidRPr="0CEE359B">
        <w:rPr>
          <w:u w:val="single"/>
        </w:rPr>
        <w:t xml:space="preserve"> 3f. </w:t>
      </w:r>
      <w:proofErr w:type="spellStart"/>
      <w:r w:rsidRPr="0CEE359B">
        <w:rPr>
          <w:u w:val="single"/>
          <w:lang w:val="en-US"/>
        </w:rPr>
        <w:t>Handleiding</w:t>
      </w:r>
      <w:proofErr w:type="spellEnd"/>
      <w:r w:rsidRPr="0CEE359B">
        <w:rPr>
          <w:u w:val="single"/>
          <w:lang w:val="en-US"/>
        </w:rPr>
        <w:t xml:space="preserve"> </w:t>
      </w:r>
      <w:proofErr w:type="spellStart"/>
      <w:r w:rsidRPr="0CEE359B">
        <w:rPr>
          <w:u w:val="single"/>
          <w:lang w:val="en-US"/>
        </w:rPr>
        <w:t>Piloottraject</w:t>
      </w:r>
      <w:proofErr w:type="spellEnd"/>
      <w:r w:rsidRPr="0CEE359B">
        <w:rPr>
          <w:u w:val="single"/>
          <w:lang w:val="en-US"/>
        </w:rPr>
        <w:t xml:space="preserve"> </w:t>
      </w:r>
      <w:proofErr w:type="spellStart"/>
      <w:r w:rsidRPr="0CEE359B">
        <w:rPr>
          <w:u w:val="single"/>
          <w:lang w:val="en-US"/>
        </w:rPr>
        <w:t>biogebaseerde</w:t>
      </w:r>
      <w:proofErr w:type="spellEnd"/>
      <w:r w:rsidRPr="0CEE359B">
        <w:rPr>
          <w:u w:val="single"/>
          <w:lang w:val="en-US"/>
        </w:rPr>
        <w:t xml:space="preserve"> </w:t>
      </w:r>
      <w:proofErr w:type="spellStart"/>
      <w:r w:rsidRPr="0CEE359B">
        <w:rPr>
          <w:u w:val="single"/>
          <w:lang w:val="en-US"/>
        </w:rPr>
        <w:t>toepassingen</w:t>
      </w:r>
      <w:proofErr w:type="spellEnd"/>
      <w:r w:rsidR="6AAB5CAE" w:rsidRPr="0CEE359B">
        <w:rPr>
          <w:lang w:val="en-US"/>
        </w:rPr>
        <w:t>: Guide for pilot trajectories biobased applications</w:t>
      </w:r>
    </w:p>
    <w:p w14:paraId="05CB202D" w14:textId="24A78C20" w:rsidR="77717AD4" w:rsidRDefault="77717AD4" w:rsidP="0CEE359B">
      <w:pPr>
        <w:pStyle w:val="Lijstalinea"/>
        <w:numPr>
          <w:ilvl w:val="0"/>
          <w:numId w:val="13"/>
        </w:numPr>
        <w:rPr>
          <w:lang w:val="en-GB"/>
        </w:rPr>
      </w:pPr>
      <w:r w:rsidRPr="0CEE359B">
        <w:rPr>
          <w:u w:val="single"/>
          <w:lang w:val="en-GB"/>
        </w:rPr>
        <w:t>Annex 3g. MB_Bijlage_2_aanvraagformulier_OIHS_2021_getekend</w:t>
      </w:r>
      <w:r w:rsidRPr="0CEE359B">
        <w:rPr>
          <w:lang w:val="en-GB"/>
        </w:rPr>
        <w:t>: the application form for the project call research infrastructure for university colleges in 2021, including a section for DNSH</w:t>
      </w:r>
    </w:p>
    <w:p w14:paraId="140793D8" w14:textId="0ACF8C51" w:rsidR="00832515" w:rsidRPr="008D261A" w:rsidRDefault="002A1BC4" w:rsidP="008A75EE">
      <w:pPr>
        <w:pStyle w:val="Lijstalinea"/>
        <w:numPr>
          <w:ilvl w:val="0"/>
          <w:numId w:val="13"/>
        </w:numPr>
        <w:rPr>
          <w:u w:val="single"/>
          <w:lang w:val="en-US"/>
        </w:rPr>
      </w:pPr>
      <w:r w:rsidRPr="0CEE359B">
        <w:rPr>
          <w:u w:val="single"/>
          <w:lang w:val="en-GB"/>
        </w:rPr>
        <w:t>Annex 4</w:t>
      </w:r>
      <w:r w:rsidR="607250FA" w:rsidRPr="0CEE359B">
        <w:rPr>
          <w:u w:val="single"/>
          <w:lang w:val="en-GB"/>
        </w:rPr>
        <w:t>a</w:t>
      </w:r>
      <w:r w:rsidRPr="0CEE359B">
        <w:rPr>
          <w:u w:val="single"/>
          <w:lang w:val="en-GB"/>
        </w:rPr>
        <w:t xml:space="preserve">. </w:t>
      </w:r>
      <w:proofErr w:type="spellStart"/>
      <w:r w:rsidRPr="0CEE359B">
        <w:rPr>
          <w:u w:val="single"/>
          <w:lang w:val="en-US"/>
        </w:rPr>
        <w:t>Algemene</w:t>
      </w:r>
      <w:proofErr w:type="spellEnd"/>
      <w:r w:rsidRPr="0CEE359B">
        <w:rPr>
          <w:u w:val="single"/>
          <w:lang w:val="en-US"/>
        </w:rPr>
        <w:t xml:space="preserve"> </w:t>
      </w:r>
      <w:proofErr w:type="spellStart"/>
      <w:r w:rsidRPr="0CEE359B">
        <w:rPr>
          <w:u w:val="single"/>
          <w:lang w:val="en-US"/>
        </w:rPr>
        <w:t>Voorwaarden</w:t>
      </w:r>
      <w:proofErr w:type="spellEnd"/>
      <w:r w:rsidRPr="0CEE359B">
        <w:rPr>
          <w:u w:val="single"/>
          <w:lang w:val="en-US"/>
        </w:rPr>
        <w:t xml:space="preserve"> Innovatiesteun_2021.1</w:t>
      </w:r>
      <w:r w:rsidRPr="0CEE359B">
        <w:rPr>
          <w:lang w:val="en-US"/>
        </w:rPr>
        <w:t xml:space="preserve">: General </w:t>
      </w:r>
      <w:r w:rsidR="004A7F7B" w:rsidRPr="0CEE359B">
        <w:rPr>
          <w:lang w:val="en-US"/>
        </w:rPr>
        <w:t>conditions for support unde</w:t>
      </w:r>
      <w:r w:rsidR="008D261A" w:rsidRPr="0CEE359B">
        <w:rPr>
          <w:lang w:val="en-US"/>
        </w:rPr>
        <w:t>r VLAIO grant schemes, many of which were applied for measure 5.11</w:t>
      </w:r>
    </w:p>
    <w:p w14:paraId="30C0DC8E" w14:textId="13D93E4B" w:rsidR="008D261A" w:rsidRPr="003C247A" w:rsidRDefault="008D261A" w:rsidP="008A75EE">
      <w:pPr>
        <w:pStyle w:val="Lijstalinea"/>
        <w:numPr>
          <w:ilvl w:val="0"/>
          <w:numId w:val="13"/>
        </w:numPr>
        <w:rPr>
          <w:u w:val="single"/>
          <w:lang w:val="nl-BE"/>
        </w:rPr>
      </w:pPr>
      <w:r w:rsidRPr="0CEE359B">
        <w:rPr>
          <w:u w:val="single"/>
          <w:lang w:val="nl-BE"/>
        </w:rPr>
        <w:t>Annex 4</w:t>
      </w:r>
      <w:r w:rsidR="09C70991" w:rsidRPr="0CEE359B">
        <w:rPr>
          <w:u w:val="single"/>
          <w:lang w:val="nl-BE"/>
        </w:rPr>
        <w:t>b</w:t>
      </w:r>
      <w:r w:rsidRPr="0CEE359B">
        <w:rPr>
          <w:u w:val="single"/>
          <w:lang w:val="nl-BE"/>
        </w:rPr>
        <w:t>. Besluit van de Vlaamse Regering [...] instelling van een financieringskanaal [...] strategisch basisonderzoek [...]</w:t>
      </w:r>
      <w:r w:rsidRPr="0CEE359B">
        <w:rPr>
          <w:lang w:val="nl-BE"/>
        </w:rPr>
        <w:t xml:space="preserve">: </w:t>
      </w:r>
      <w:proofErr w:type="spellStart"/>
      <w:r w:rsidRPr="0CEE359B">
        <w:rPr>
          <w:lang w:val="nl-BE"/>
        </w:rPr>
        <w:t>Decree</w:t>
      </w:r>
      <w:proofErr w:type="spellEnd"/>
      <w:r w:rsidRPr="0CEE359B">
        <w:rPr>
          <w:lang w:val="nl-BE"/>
        </w:rPr>
        <w:t xml:space="preserve"> of </w:t>
      </w:r>
      <w:proofErr w:type="spellStart"/>
      <w:r w:rsidRPr="0CEE359B">
        <w:rPr>
          <w:lang w:val="nl-BE"/>
        </w:rPr>
        <w:t>the</w:t>
      </w:r>
      <w:proofErr w:type="spellEnd"/>
      <w:r w:rsidRPr="0CEE359B">
        <w:rPr>
          <w:lang w:val="nl-BE"/>
        </w:rPr>
        <w:t xml:space="preserve"> </w:t>
      </w:r>
      <w:proofErr w:type="spellStart"/>
      <w:r w:rsidRPr="0CEE359B">
        <w:rPr>
          <w:lang w:val="nl-BE"/>
        </w:rPr>
        <w:t>Flemish</w:t>
      </w:r>
      <w:proofErr w:type="spellEnd"/>
      <w:r w:rsidRPr="0CEE359B">
        <w:rPr>
          <w:lang w:val="nl-BE"/>
        </w:rPr>
        <w:t xml:space="preserve"> Government </w:t>
      </w:r>
      <w:proofErr w:type="spellStart"/>
      <w:r w:rsidR="0081081F" w:rsidRPr="0CEE359B">
        <w:rPr>
          <w:lang w:val="nl-BE"/>
        </w:rPr>
        <w:t>adapting</w:t>
      </w:r>
      <w:proofErr w:type="spellEnd"/>
      <w:r w:rsidR="0081081F" w:rsidRPr="0CEE359B">
        <w:rPr>
          <w:lang w:val="nl-BE"/>
        </w:rPr>
        <w:t xml:space="preserve"> </w:t>
      </w:r>
      <w:r w:rsidR="003C247A" w:rsidRPr="0CEE359B">
        <w:rPr>
          <w:lang w:val="nl-BE"/>
        </w:rPr>
        <w:t xml:space="preserve">financial </w:t>
      </w:r>
      <w:proofErr w:type="spellStart"/>
      <w:r w:rsidR="003C247A" w:rsidRPr="0CEE359B">
        <w:rPr>
          <w:lang w:val="nl-BE"/>
        </w:rPr>
        <w:t>channels</w:t>
      </w:r>
      <w:proofErr w:type="spellEnd"/>
      <w:r w:rsidR="003C247A" w:rsidRPr="0CEE359B">
        <w:rPr>
          <w:lang w:val="nl-BE"/>
        </w:rPr>
        <w:t xml:space="preserve"> </w:t>
      </w:r>
      <w:proofErr w:type="spellStart"/>
      <w:r w:rsidR="003C247A" w:rsidRPr="0CEE359B">
        <w:rPr>
          <w:lang w:val="nl-BE"/>
        </w:rPr>
        <w:t>for</w:t>
      </w:r>
      <w:proofErr w:type="spellEnd"/>
      <w:r w:rsidR="003C247A" w:rsidRPr="0CEE359B">
        <w:rPr>
          <w:lang w:val="nl-BE"/>
        </w:rPr>
        <w:t xml:space="preserve"> </w:t>
      </w:r>
      <w:proofErr w:type="spellStart"/>
      <w:r w:rsidR="003C247A" w:rsidRPr="0CEE359B">
        <w:rPr>
          <w:lang w:val="nl-BE"/>
        </w:rPr>
        <w:t>strategic</w:t>
      </w:r>
      <w:proofErr w:type="spellEnd"/>
      <w:r w:rsidR="003C247A" w:rsidRPr="0CEE359B">
        <w:rPr>
          <w:lang w:val="nl-BE"/>
        </w:rPr>
        <w:t xml:space="preserve"> </w:t>
      </w:r>
      <w:proofErr w:type="spellStart"/>
      <w:r w:rsidR="003C247A" w:rsidRPr="0CEE359B">
        <w:rPr>
          <w:lang w:val="nl-BE"/>
        </w:rPr>
        <w:t>fundamental</w:t>
      </w:r>
      <w:proofErr w:type="spellEnd"/>
      <w:r w:rsidR="003C247A" w:rsidRPr="0CEE359B">
        <w:rPr>
          <w:lang w:val="nl-BE"/>
        </w:rPr>
        <w:t xml:space="preserve"> research</w:t>
      </w:r>
    </w:p>
    <w:p w14:paraId="71E51942" w14:textId="3116C2A3" w:rsidR="749BA1A3" w:rsidRPr="00DD6071" w:rsidRDefault="1D9E48EF" w:rsidP="235C38E4">
      <w:pPr>
        <w:pStyle w:val="Lijstalinea"/>
        <w:numPr>
          <w:ilvl w:val="1"/>
          <w:numId w:val="13"/>
        </w:numPr>
        <w:rPr>
          <w:u w:val="single"/>
          <w:lang w:val="en-GB"/>
        </w:rPr>
      </w:pPr>
      <w:r w:rsidRPr="00DD6071">
        <w:rPr>
          <w:lang w:val="en-GB"/>
        </w:rPr>
        <w:t xml:space="preserve">Applicable for CLUS-CSBO type </w:t>
      </w:r>
      <w:r w:rsidR="1CFCA927" w:rsidRPr="00DD6071">
        <w:rPr>
          <w:lang w:val="en-GB"/>
        </w:rPr>
        <w:t>cluster</w:t>
      </w:r>
      <w:r w:rsidRPr="00DD6071">
        <w:rPr>
          <w:lang w:val="en-GB"/>
        </w:rPr>
        <w:t xml:space="preserve"> projects</w:t>
      </w:r>
    </w:p>
    <w:p w14:paraId="7153BEA9" w14:textId="63AA241A" w:rsidR="003C247A" w:rsidRPr="000F4E81" w:rsidRDefault="00A1481A" w:rsidP="008A75EE">
      <w:pPr>
        <w:pStyle w:val="Lijstalinea"/>
        <w:numPr>
          <w:ilvl w:val="0"/>
          <w:numId w:val="13"/>
        </w:numPr>
        <w:rPr>
          <w:u w:val="single"/>
          <w:lang w:val="nl-BE"/>
        </w:rPr>
      </w:pPr>
      <w:r w:rsidRPr="0CEE359B">
        <w:rPr>
          <w:u w:val="single"/>
          <w:lang w:val="nl-BE"/>
        </w:rPr>
        <w:t>Annex 4</w:t>
      </w:r>
      <w:r w:rsidR="03D26A1E" w:rsidRPr="0CEE359B">
        <w:rPr>
          <w:u w:val="single"/>
          <w:lang w:val="nl-BE"/>
        </w:rPr>
        <w:t>c</w:t>
      </w:r>
      <w:r w:rsidRPr="0CEE359B">
        <w:rPr>
          <w:u w:val="single"/>
          <w:lang w:val="nl-BE"/>
        </w:rPr>
        <w:t>. Besluit van de Vlaamse Regering [...] ondernemingen voor [O&amp;O] met een kennisintensief karakter in Vlaanderen</w:t>
      </w:r>
      <w:r w:rsidRPr="0CEE359B">
        <w:rPr>
          <w:lang w:val="nl-BE"/>
        </w:rPr>
        <w:t xml:space="preserve">: </w:t>
      </w:r>
      <w:proofErr w:type="spellStart"/>
      <w:r w:rsidRPr="0CEE359B">
        <w:rPr>
          <w:lang w:val="nl-BE"/>
        </w:rPr>
        <w:t>Decree</w:t>
      </w:r>
      <w:proofErr w:type="spellEnd"/>
      <w:r w:rsidRPr="0CEE359B">
        <w:rPr>
          <w:lang w:val="nl-BE"/>
        </w:rPr>
        <w:t xml:space="preserve"> of </w:t>
      </w:r>
      <w:proofErr w:type="spellStart"/>
      <w:r w:rsidRPr="0CEE359B">
        <w:rPr>
          <w:lang w:val="nl-BE"/>
        </w:rPr>
        <w:t>the</w:t>
      </w:r>
      <w:proofErr w:type="spellEnd"/>
      <w:r w:rsidRPr="0CEE359B">
        <w:rPr>
          <w:lang w:val="nl-BE"/>
        </w:rPr>
        <w:t xml:space="preserve"> </w:t>
      </w:r>
      <w:proofErr w:type="spellStart"/>
      <w:r w:rsidRPr="0CEE359B">
        <w:rPr>
          <w:lang w:val="nl-BE"/>
        </w:rPr>
        <w:t>Flemish</w:t>
      </w:r>
      <w:proofErr w:type="spellEnd"/>
      <w:r w:rsidRPr="0CEE359B">
        <w:rPr>
          <w:lang w:val="nl-BE"/>
        </w:rPr>
        <w:t xml:space="preserve"> Government </w:t>
      </w:r>
      <w:proofErr w:type="spellStart"/>
      <w:r w:rsidRPr="0CEE359B">
        <w:rPr>
          <w:lang w:val="nl-BE"/>
        </w:rPr>
        <w:t>concerning</w:t>
      </w:r>
      <w:proofErr w:type="spellEnd"/>
      <w:r w:rsidRPr="0CEE359B">
        <w:rPr>
          <w:lang w:val="nl-BE"/>
        </w:rPr>
        <w:t xml:space="preserve"> </w:t>
      </w:r>
      <w:r w:rsidR="000F4E81" w:rsidRPr="0CEE359B">
        <w:rPr>
          <w:lang w:val="nl-BE"/>
        </w:rPr>
        <w:t xml:space="preserve">support </w:t>
      </w:r>
      <w:proofErr w:type="spellStart"/>
      <w:r w:rsidR="000F4E81" w:rsidRPr="0CEE359B">
        <w:rPr>
          <w:lang w:val="nl-BE"/>
        </w:rPr>
        <w:t>for</w:t>
      </w:r>
      <w:proofErr w:type="spellEnd"/>
      <w:r w:rsidR="000F4E81" w:rsidRPr="0CEE359B">
        <w:rPr>
          <w:lang w:val="nl-BE"/>
        </w:rPr>
        <w:t xml:space="preserve"> private companies </w:t>
      </w:r>
      <w:proofErr w:type="spellStart"/>
      <w:r w:rsidR="000F4E81" w:rsidRPr="0CEE359B">
        <w:rPr>
          <w:lang w:val="nl-BE"/>
        </w:rPr>
        <w:t>active</w:t>
      </w:r>
      <w:proofErr w:type="spellEnd"/>
      <w:r w:rsidR="000F4E81" w:rsidRPr="0CEE359B">
        <w:rPr>
          <w:lang w:val="nl-BE"/>
        </w:rPr>
        <w:t xml:space="preserve"> in research-intensive R&amp;D</w:t>
      </w:r>
    </w:p>
    <w:p w14:paraId="60BF045E" w14:textId="165FE983" w:rsidR="2E37B0C4" w:rsidRDefault="2CF76A18" w:rsidP="2E37B0C4">
      <w:pPr>
        <w:pStyle w:val="Lijstalinea"/>
        <w:numPr>
          <w:ilvl w:val="1"/>
          <w:numId w:val="13"/>
        </w:numPr>
        <w:rPr>
          <w:lang w:val="en-US"/>
        </w:rPr>
      </w:pPr>
      <w:r w:rsidRPr="2E37B0C4">
        <w:rPr>
          <w:lang w:val="en-US"/>
        </w:rPr>
        <w:t>Applicable for OND type regular projects and CLUS-COOP-OND type cluster projects</w:t>
      </w:r>
    </w:p>
    <w:p w14:paraId="736A9366" w14:textId="72E91F85" w:rsidR="006F654E" w:rsidRPr="00311034" w:rsidRDefault="00271D3F" w:rsidP="008A75EE">
      <w:pPr>
        <w:pStyle w:val="Lijstalinea"/>
        <w:numPr>
          <w:ilvl w:val="0"/>
          <w:numId w:val="13"/>
        </w:numPr>
        <w:rPr>
          <w:u w:val="single"/>
          <w:lang w:val="nl-BE"/>
        </w:rPr>
      </w:pPr>
      <w:r w:rsidRPr="0CEE359B">
        <w:rPr>
          <w:u w:val="single"/>
          <w:lang w:val="nl-BE"/>
        </w:rPr>
        <w:t>Annex 4</w:t>
      </w:r>
      <w:r w:rsidR="798DDA47" w:rsidRPr="0CEE359B">
        <w:rPr>
          <w:u w:val="single"/>
          <w:lang w:val="nl-BE"/>
        </w:rPr>
        <w:t>d</w:t>
      </w:r>
      <w:r w:rsidRPr="0CEE359B">
        <w:rPr>
          <w:u w:val="single"/>
          <w:lang w:val="nl-BE"/>
        </w:rPr>
        <w:t>. Besluit van de Vlaamse Regering [...] steun aan ondernemingen voor ontwikkeling en innovatie in Vlaanderen</w:t>
      </w:r>
      <w:r w:rsidRPr="0CEE359B">
        <w:rPr>
          <w:lang w:val="nl-BE"/>
        </w:rPr>
        <w:t xml:space="preserve">: </w:t>
      </w:r>
      <w:proofErr w:type="spellStart"/>
      <w:r w:rsidRPr="0CEE359B">
        <w:rPr>
          <w:lang w:val="nl-BE"/>
        </w:rPr>
        <w:t>Decree</w:t>
      </w:r>
      <w:proofErr w:type="spellEnd"/>
      <w:r w:rsidRPr="0CEE359B">
        <w:rPr>
          <w:lang w:val="nl-BE"/>
        </w:rPr>
        <w:t xml:space="preserve"> of </w:t>
      </w:r>
      <w:proofErr w:type="spellStart"/>
      <w:r w:rsidRPr="0CEE359B">
        <w:rPr>
          <w:lang w:val="nl-BE"/>
        </w:rPr>
        <w:t>the</w:t>
      </w:r>
      <w:proofErr w:type="spellEnd"/>
      <w:r w:rsidRPr="0CEE359B">
        <w:rPr>
          <w:lang w:val="nl-BE"/>
        </w:rPr>
        <w:t xml:space="preserve"> </w:t>
      </w:r>
      <w:proofErr w:type="spellStart"/>
      <w:r w:rsidRPr="0CEE359B">
        <w:rPr>
          <w:lang w:val="nl-BE"/>
        </w:rPr>
        <w:t>Flemish</w:t>
      </w:r>
      <w:proofErr w:type="spellEnd"/>
      <w:r w:rsidRPr="0CEE359B">
        <w:rPr>
          <w:lang w:val="nl-BE"/>
        </w:rPr>
        <w:t xml:space="preserve"> Government </w:t>
      </w:r>
      <w:proofErr w:type="spellStart"/>
      <w:r w:rsidRPr="0CEE359B">
        <w:rPr>
          <w:lang w:val="nl-BE"/>
        </w:rPr>
        <w:t>concerning</w:t>
      </w:r>
      <w:proofErr w:type="spellEnd"/>
      <w:r w:rsidRPr="0CEE359B">
        <w:rPr>
          <w:lang w:val="nl-BE"/>
        </w:rPr>
        <w:t xml:space="preserve"> support </w:t>
      </w:r>
      <w:proofErr w:type="spellStart"/>
      <w:r w:rsidRPr="0CEE359B">
        <w:rPr>
          <w:lang w:val="nl-BE"/>
        </w:rPr>
        <w:t>for</w:t>
      </w:r>
      <w:proofErr w:type="spellEnd"/>
      <w:r w:rsidRPr="0CEE359B">
        <w:rPr>
          <w:lang w:val="nl-BE"/>
        </w:rPr>
        <w:t xml:space="preserve"> </w:t>
      </w:r>
      <w:r w:rsidR="00311034" w:rsidRPr="0CEE359B">
        <w:rPr>
          <w:lang w:val="nl-BE"/>
        </w:rPr>
        <w:t xml:space="preserve">R&amp;D support </w:t>
      </w:r>
      <w:proofErr w:type="spellStart"/>
      <w:r w:rsidR="00311034" w:rsidRPr="0CEE359B">
        <w:rPr>
          <w:lang w:val="nl-BE"/>
        </w:rPr>
        <w:t>to</w:t>
      </w:r>
      <w:proofErr w:type="spellEnd"/>
      <w:r w:rsidR="00311034" w:rsidRPr="0CEE359B">
        <w:rPr>
          <w:lang w:val="nl-BE"/>
        </w:rPr>
        <w:t xml:space="preserve"> private companies</w:t>
      </w:r>
    </w:p>
    <w:p w14:paraId="4A00D182" w14:textId="67D4F3A1" w:rsidR="4D291462" w:rsidRDefault="35D544BB" w:rsidP="21B650E9">
      <w:pPr>
        <w:pStyle w:val="Lijstalinea"/>
        <w:numPr>
          <w:ilvl w:val="1"/>
          <w:numId w:val="13"/>
        </w:numPr>
        <w:rPr>
          <w:lang w:val="en-US"/>
        </w:rPr>
      </w:pPr>
      <w:r w:rsidRPr="00DD6071">
        <w:rPr>
          <w:lang w:val="en-GB"/>
        </w:rPr>
        <w:t xml:space="preserve">Applicable for ONTW and HS type regular projects and </w:t>
      </w:r>
      <w:r w:rsidRPr="5E043735">
        <w:rPr>
          <w:lang w:val="en-US"/>
        </w:rPr>
        <w:t>CLUS-COOP-ONTW type cluster projects</w:t>
      </w:r>
    </w:p>
    <w:p w14:paraId="773AA4F6" w14:textId="342CEC17" w:rsidR="00311034" w:rsidRPr="00DC30CE" w:rsidRDefault="00DC30CE" w:rsidP="008A75EE">
      <w:pPr>
        <w:pStyle w:val="Lijstalinea"/>
        <w:numPr>
          <w:ilvl w:val="0"/>
          <w:numId w:val="13"/>
        </w:numPr>
        <w:rPr>
          <w:u w:val="single"/>
          <w:lang w:val="nl-BE"/>
        </w:rPr>
      </w:pPr>
      <w:r w:rsidRPr="0CEE359B">
        <w:rPr>
          <w:u w:val="single"/>
          <w:lang w:val="nl-BE"/>
        </w:rPr>
        <w:t>Annex 4</w:t>
      </w:r>
      <w:r w:rsidR="148FEB50" w:rsidRPr="0CEE359B">
        <w:rPr>
          <w:u w:val="single"/>
          <w:lang w:val="nl-BE"/>
        </w:rPr>
        <w:t>e</w:t>
      </w:r>
      <w:r w:rsidRPr="0CEE359B">
        <w:rPr>
          <w:u w:val="single"/>
          <w:lang w:val="nl-BE"/>
        </w:rPr>
        <w:t>. Besluit van de Vlaamse Regering betreffende de projectmatige financiering van [...] onderzoek voor de land en tuinbouwsector</w:t>
      </w:r>
      <w:r w:rsidRPr="0CEE359B">
        <w:rPr>
          <w:lang w:val="nl-BE"/>
        </w:rPr>
        <w:t xml:space="preserve">: </w:t>
      </w:r>
      <w:proofErr w:type="spellStart"/>
      <w:r w:rsidRPr="0CEE359B">
        <w:rPr>
          <w:lang w:val="nl-BE"/>
        </w:rPr>
        <w:t>Decree</w:t>
      </w:r>
      <w:proofErr w:type="spellEnd"/>
      <w:r w:rsidRPr="0CEE359B">
        <w:rPr>
          <w:lang w:val="nl-BE"/>
        </w:rPr>
        <w:t xml:space="preserve"> of </w:t>
      </w:r>
      <w:proofErr w:type="spellStart"/>
      <w:r w:rsidRPr="0CEE359B">
        <w:rPr>
          <w:lang w:val="nl-BE"/>
        </w:rPr>
        <w:t>the</w:t>
      </w:r>
      <w:proofErr w:type="spellEnd"/>
      <w:r w:rsidRPr="0CEE359B">
        <w:rPr>
          <w:lang w:val="nl-BE"/>
        </w:rPr>
        <w:t xml:space="preserve"> </w:t>
      </w:r>
      <w:proofErr w:type="spellStart"/>
      <w:r w:rsidRPr="0CEE359B">
        <w:rPr>
          <w:lang w:val="nl-BE"/>
        </w:rPr>
        <w:t>Flemish</w:t>
      </w:r>
      <w:proofErr w:type="spellEnd"/>
      <w:r w:rsidRPr="0CEE359B">
        <w:rPr>
          <w:lang w:val="nl-BE"/>
        </w:rPr>
        <w:t xml:space="preserve"> Government </w:t>
      </w:r>
      <w:proofErr w:type="spellStart"/>
      <w:r w:rsidRPr="0CEE359B">
        <w:rPr>
          <w:lang w:val="nl-BE"/>
        </w:rPr>
        <w:t>concerning</w:t>
      </w:r>
      <w:proofErr w:type="spellEnd"/>
      <w:r w:rsidRPr="0CEE359B">
        <w:rPr>
          <w:lang w:val="nl-BE"/>
        </w:rPr>
        <w:t xml:space="preserve"> project </w:t>
      </w:r>
      <w:proofErr w:type="spellStart"/>
      <w:r w:rsidRPr="0CEE359B">
        <w:rPr>
          <w:lang w:val="nl-BE"/>
        </w:rPr>
        <w:t>finance</w:t>
      </w:r>
      <w:proofErr w:type="spellEnd"/>
      <w:r w:rsidRPr="0CEE359B">
        <w:rPr>
          <w:lang w:val="nl-BE"/>
        </w:rPr>
        <w:t xml:space="preserve"> </w:t>
      </w:r>
      <w:proofErr w:type="spellStart"/>
      <w:r w:rsidRPr="0CEE359B">
        <w:rPr>
          <w:lang w:val="nl-BE"/>
        </w:rPr>
        <w:t>for</w:t>
      </w:r>
      <w:proofErr w:type="spellEnd"/>
      <w:r w:rsidRPr="0CEE359B">
        <w:rPr>
          <w:lang w:val="nl-BE"/>
        </w:rPr>
        <w:t xml:space="preserve"> R&amp;D in </w:t>
      </w:r>
      <w:proofErr w:type="spellStart"/>
      <w:r w:rsidRPr="0CEE359B">
        <w:rPr>
          <w:lang w:val="nl-BE"/>
        </w:rPr>
        <w:t>the</w:t>
      </w:r>
      <w:proofErr w:type="spellEnd"/>
      <w:r w:rsidRPr="0CEE359B">
        <w:rPr>
          <w:lang w:val="nl-BE"/>
        </w:rPr>
        <w:t xml:space="preserve"> </w:t>
      </w:r>
      <w:proofErr w:type="spellStart"/>
      <w:r w:rsidRPr="0CEE359B">
        <w:rPr>
          <w:lang w:val="nl-BE"/>
        </w:rPr>
        <w:t>agricultural</w:t>
      </w:r>
      <w:proofErr w:type="spellEnd"/>
      <w:r w:rsidRPr="0CEE359B">
        <w:rPr>
          <w:lang w:val="nl-BE"/>
        </w:rPr>
        <w:t xml:space="preserve"> sector</w:t>
      </w:r>
    </w:p>
    <w:p w14:paraId="5DD7A45A" w14:textId="5E749F3E" w:rsidR="1E60E18E" w:rsidRDefault="1E60E18E" w:rsidP="40905197">
      <w:pPr>
        <w:pStyle w:val="Lijstalinea"/>
        <w:numPr>
          <w:ilvl w:val="1"/>
          <w:numId w:val="13"/>
        </w:numPr>
        <w:rPr>
          <w:u w:val="single"/>
          <w:lang w:val="en-US"/>
        </w:rPr>
      </w:pPr>
      <w:r w:rsidRPr="40905197">
        <w:rPr>
          <w:lang w:val="en-US"/>
        </w:rPr>
        <w:t>Applicable for LATR type regular projects and CLUS-LATR type cluster projects</w:t>
      </w:r>
    </w:p>
    <w:p w14:paraId="2A4EF785" w14:textId="5862C024" w:rsidR="00DC30CE" w:rsidRPr="00BB308D" w:rsidRDefault="001B7586" w:rsidP="008A75EE">
      <w:pPr>
        <w:pStyle w:val="Lijstalinea"/>
        <w:numPr>
          <w:ilvl w:val="0"/>
          <w:numId w:val="13"/>
        </w:numPr>
        <w:rPr>
          <w:u w:val="single"/>
          <w:lang w:val="nl-BE"/>
        </w:rPr>
      </w:pPr>
      <w:r w:rsidRPr="0CEE359B">
        <w:rPr>
          <w:u w:val="single"/>
          <w:lang w:val="nl-BE"/>
        </w:rPr>
        <w:t>Annex 4</w:t>
      </w:r>
      <w:r w:rsidR="7C5A837C" w:rsidRPr="0CEE359B">
        <w:rPr>
          <w:u w:val="single"/>
          <w:lang w:val="nl-BE"/>
        </w:rPr>
        <w:t>f</w:t>
      </w:r>
      <w:r w:rsidRPr="0CEE359B">
        <w:rPr>
          <w:u w:val="single"/>
          <w:lang w:val="nl-BE"/>
        </w:rPr>
        <w:t>. Besluit van de Vlaamse Regering houdende de instelling van een financieringskanaal voor het strategisch basisonderzoek in Vlaanderen</w:t>
      </w:r>
      <w:r w:rsidRPr="0CEE359B">
        <w:rPr>
          <w:lang w:val="nl-BE"/>
        </w:rPr>
        <w:t xml:space="preserve">: </w:t>
      </w:r>
      <w:proofErr w:type="spellStart"/>
      <w:r w:rsidR="00BB308D" w:rsidRPr="0CEE359B">
        <w:rPr>
          <w:lang w:val="nl-BE"/>
        </w:rPr>
        <w:t>Decree</w:t>
      </w:r>
      <w:proofErr w:type="spellEnd"/>
      <w:r w:rsidR="00BB308D" w:rsidRPr="0CEE359B">
        <w:rPr>
          <w:lang w:val="nl-BE"/>
        </w:rPr>
        <w:t xml:space="preserve"> of </w:t>
      </w:r>
      <w:proofErr w:type="spellStart"/>
      <w:r w:rsidR="00BB308D" w:rsidRPr="0CEE359B">
        <w:rPr>
          <w:lang w:val="nl-BE"/>
        </w:rPr>
        <w:t>the</w:t>
      </w:r>
      <w:proofErr w:type="spellEnd"/>
      <w:r w:rsidR="00BB308D" w:rsidRPr="0CEE359B">
        <w:rPr>
          <w:lang w:val="nl-BE"/>
        </w:rPr>
        <w:t xml:space="preserve"> </w:t>
      </w:r>
      <w:proofErr w:type="spellStart"/>
      <w:r w:rsidR="00BB308D" w:rsidRPr="0CEE359B">
        <w:rPr>
          <w:lang w:val="nl-BE"/>
        </w:rPr>
        <w:t>Flemish</w:t>
      </w:r>
      <w:proofErr w:type="spellEnd"/>
      <w:r w:rsidR="00BB308D" w:rsidRPr="0CEE359B">
        <w:rPr>
          <w:lang w:val="nl-BE"/>
        </w:rPr>
        <w:t xml:space="preserve"> Government </w:t>
      </w:r>
      <w:proofErr w:type="spellStart"/>
      <w:r w:rsidR="00BB308D" w:rsidRPr="0CEE359B">
        <w:rPr>
          <w:lang w:val="nl-BE"/>
        </w:rPr>
        <w:t>concerning</w:t>
      </w:r>
      <w:proofErr w:type="spellEnd"/>
      <w:r w:rsidR="00BB308D" w:rsidRPr="0CEE359B">
        <w:rPr>
          <w:lang w:val="nl-BE"/>
        </w:rPr>
        <w:t xml:space="preserve"> financial support </w:t>
      </w:r>
      <w:proofErr w:type="spellStart"/>
      <w:r w:rsidR="00BB308D" w:rsidRPr="0CEE359B">
        <w:rPr>
          <w:lang w:val="nl-BE"/>
        </w:rPr>
        <w:t>for</w:t>
      </w:r>
      <w:proofErr w:type="spellEnd"/>
      <w:r w:rsidR="00BB308D" w:rsidRPr="0CEE359B">
        <w:rPr>
          <w:lang w:val="nl-BE"/>
        </w:rPr>
        <w:t xml:space="preserve"> strategisch </w:t>
      </w:r>
      <w:proofErr w:type="spellStart"/>
      <w:r w:rsidR="00BB308D" w:rsidRPr="0CEE359B">
        <w:rPr>
          <w:lang w:val="nl-BE"/>
        </w:rPr>
        <w:t>fundamental</w:t>
      </w:r>
      <w:proofErr w:type="spellEnd"/>
      <w:r w:rsidR="00BB308D" w:rsidRPr="0CEE359B">
        <w:rPr>
          <w:lang w:val="nl-BE"/>
        </w:rPr>
        <w:t xml:space="preserve"> research</w:t>
      </w:r>
    </w:p>
    <w:p w14:paraId="692BC7CA" w14:textId="602F7BA6" w:rsidR="2DAF5778" w:rsidRPr="00DD6071" w:rsidRDefault="21CA112C" w:rsidP="50708F35">
      <w:pPr>
        <w:pStyle w:val="Lijstalinea"/>
        <w:numPr>
          <w:ilvl w:val="1"/>
          <w:numId w:val="13"/>
        </w:numPr>
        <w:rPr>
          <w:lang w:val="en-GB"/>
        </w:rPr>
      </w:pPr>
      <w:r w:rsidRPr="00DD6071">
        <w:rPr>
          <w:lang w:val="en-GB"/>
        </w:rPr>
        <w:t>Applicable for CLUS-ICON-OND type cluster projects</w:t>
      </w:r>
    </w:p>
    <w:p w14:paraId="6641FAB9" w14:textId="1E8D156E" w:rsidR="00BB308D" w:rsidRPr="004676EB" w:rsidRDefault="00BB308D" w:rsidP="008A75EE">
      <w:pPr>
        <w:pStyle w:val="Lijstalinea"/>
        <w:numPr>
          <w:ilvl w:val="0"/>
          <w:numId w:val="13"/>
        </w:numPr>
        <w:rPr>
          <w:u w:val="single"/>
          <w:lang w:val="nl-BE"/>
        </w:rPr>
      </w:pPr>
      <w:r w:rsidRPr="0CEE359B">
        <w:rPr>
          <w:u w:val="single"/>
          <w:lang w:val="nl-BE"/>
        </w:rPr>
        <w:lastRenderedPageBreak/>
        <w:t>Annex 4</w:t>
      </w:r>
      <w:r w:rsidR="5F5735EB" w:rsidRPr="0CEE359B">
        <w:rPr>
          <w:u w:val="single"/>
          <w:lang w:val="nl-BE"/>
        </w:rPr>
        <w:t>g</w:t>
      </w:r>
      <w:r w:rsidRPr="0CEE359B">
        <w:rPr>
          <w:u w:val="single"/>
          <w:lang w:val="nl-BE"/>
        </w:rPr>
        <w:t>. Besluit van de Vlaamse Regering tot regeling van steun aan consortia van ondernemingen voor onderzoek ontwikkeling[...]</w:t>
      </w:r>
      <w:r w:rsidRPr="0CEE359B">
        <w:rPr>
          <w:lang w:val="nl-BE"/>
        </w:rPr>
        <w:t xml:space="preserve">: </w:t>
      </w:r>
      <w:proofErr w:type="spellStart"/>
      <w:r w:rsidR="00366638" w:rsidRPr="0CEE359B">
        <w:rPr>
          <w:lang w:val="nl-BE"/>
        </w:rPr>
        <w:t>Decree</w:t>
      </w:r>
      <w:proofErr w:type="spellEnd"/>
      <w:r w:rsidR="00366638" w:rsidRPr="0CEE359B">
        <w:rPr>
          <w:lang w:val="nl-BE"/>
        </w:rPr>
        <w:t xml:space="preserve"> of </w:t>
      </w:r>
      <w:proofErr w:type="spellStart"/>
      <w:r w:rsidR="00366638" w:rsidRPr="0CEE359B">
        <w:rPr>
          <w:lang w:val="nl-BE"/>
        </w:rPr>
        <w:t>the</w:t>
      </w:r>
      <w:proofErr w:type="spellEnd"/>
      <w:r w:rsidR="00366638" w:rsidRPr="0CEE359B">
        <w:rPr>
          <w:lang w:val="nl-BE"/>
        </w:rPr>
        <w:t xml:space="preserve"> </w:t>
      </w:r>
      <w:proofErr w:type="spellStart"/>
      <w:r w:rsidR="00366638" w:rsidRPr="0CEE359B">
        <w:rPr>
          <w:lang w:val="nl-BE"/>
        </w:rPr>
        <w:t>Flemish</w:t>
      </w:r>
      <w:proofErr w:type="spellEnd"/>
      <w:r w:rsidR="00366638" w:rsidRPr="0CEE359B">
        <w:rPr>
          <w:lang w:val="nl-BE"/>
        </w:rPr>
        <w:t xml:space="preserve"> Government </w:t>
      </w:r>
      <w:proofErr w:type="spellStart"/>
      <w:r w:rsidR="00366638" w:rsidRPr="0CEE359B">
        <w:rPr>
          <w:lang w:val="nl-BE"/>
        </w:rPr>
        <w:t>concerning</w:t>
      </w:r>
      <w:proofErr w:type="spellEnd"/>
      <w:r w:rsidR="00366638" w:rsidRPr="0CEE359B">
        <w:rPr>
          <w:lang w:val="nl-BE"/>
        </w:rPr>
        <w:t xml:space="preserve"> </w:t>
      </w:r>
      <w:r w:rsidR="004676EB" w:rsidRPr="0CEE359B">
        <w:rPr>
          <w:lang w:val="nl-BE"/>
        </w:rPr>
        <w:t xml:space="preserve">support </w:t>
      </w:r>
      <w:proofErr w:type="spellStart"/>
      <w:r w:rsidR="004676EB" w:rsidRPr="0CEE359B">
        <w:rPr>
          <w:lang w:val="nl-BE"/>
        </w:rPr>
        <w:t>to</w:t>
      </w:r>
      <w:proofErr w:type="spellEnd"/>
      <w:r w:rsidR="004676EB" w:rsidRPr="0CEE359B">
        <w:rPr>
          <w:lang w:val="nl-BE"/>
        </w:rPr>
        <w:t xml:space="preserve"> consortia of companies </w:t>
      </w:r>
      <w:proofErr w:type="spellStart"/>
      <w:r w:rsidR="004676EB" w:rsidRPr="0CEE359B">
        <w:rPr>
          <w:lang w:val="nl-BE"/>
        </w:rPr>
        <w:t>for</w:t>
      </w:r>
      <w:proofErr w:type="spellEnd"/>
      <w:r w:rsidR="004676EB" w:rsidRPr="0CEE359B">
        <w:rPr>
          <w:lang w:val="nl-BE"/>
        </w:rPr>
        <w:t xml:space="preserve"> R&amp;D</w:t>
      </w:r>
    </w:p>
    <w:p w14:paraId="67F3B085" w14:textId="50564102" w:rsidR="4E2D7AB4" w:rsidRPr="00DD6071" w:rsidRDefault="01EB082F" w:rsidP="58C8B765">
      <w:pPr>
        <w:pStyle w:val="Lijstalinea"/>
        <w:numPr>
          <w:ilvl w:val="1"/>
          <w:numId w:val="13"/>
        </w:numPr>
        <w:rPr>
          <w:lang w:val="en-GB"/>
        </w:rPr>
      </w:pPr>
      <w:r w:rsidRPr="00DD6071">
        <w:rPr>
          <w:lang w:val="en-GB"/>
        </w:rPr>
        <w:t>Applicable for CLUS-ICON-OND type cluster projects</w:t>
      </w:r>
    </w:p>
    <w:p w14:paraId="2DFB9950" w14:textId="617FC234" w:rsidR="004676EB" w:rsidRPr="001F73B7" w:rsidRDefault="004676EB" w:rsidP="008A75EE">
      <w:pPr>
        <w:pStyle w:val="Lijstalinea"/>
        <w:numPr>
          <w:ilvl w:val="0"/>
          <w:numId w:val="13"/>
        </w:numPr>
        <w:rPr>
          <w:u w:val="single"/>
          <w:lang w:val="en-GB"/>
        </w:rPr>
      </w:pPr>
      <w:r w:rsidRPr="0CEE359B">
        <w:rPr>
          <w:u w:val="single"/>
          <w:lang w:val="en-GB"/>
        </w:rPr>
        <w:t>Annex 4</w:t>
      </w:r>
      <w:r w:rsidR="56F7D685" w:rsidRPr="0CEE359B">
        <w:rPr>
          <w:u w:val="single"/>
          <w:lang w:val="en-GB"/>
        </w:rPr>
        <w:t>h</w:t>
      </w:r>
      <w:r w:rsidRPr="0CEE359B">
        <w:rPr>
          <w:u w:val="single"/>
          <w:lang w:val="en-GB"/>
        </w:rPr>
        <w:t xml:space="preserve">. </w:t>
      </w:r>
      <w:proofErr w:type="spellStart"/>
      <w:r w:rsidRPr="0CEE359B">
        <w:rPr>
          <w:u w:val="single"/>
          <w:lang w:val="en-US"/>
        </w:rPr>
        <w:t>Handleiding</w:t>
      </w:r>
      <w:proofErr w:type="spellEnd"/>
      <w:r w:rsidRPr="0CEE359B">
        <w:rPr>
          <w:u w:val="single"/>
          <w:lang w:val="en-US"/>
        </w:rPr>
        <w:t xml:space="preserve"> </w:t>
      </w:r>
      <w:proofErr w:type="spellStart"/>
      <w:r w:rsidRPr="0CEE359B">
        <w:rPr>
          <w:u w:val="single"/>
          <w:lang w:val="en-US"/>
        </w:rPr>
        <w:t>Landbouwtrajecten</w:t>
      </w:r>
      <w:proofErr w:type="spellEnd"/>
      <w:r w:rsidRPr="0CEE359B">
        <w:rPr>
          <w:lang w:val="en-GB"/>
        </w:rPr>
        <w:t>: Guide to agricultural trajectories (</w:t>
      </w:r>
      <w:r w:rsidR="00AE3AB5" w:rsidRPr="0CEE359B">
        <w:rPr>
          <w:lang w:val="en-GB"/>
        </w:rPr>
        <w:t>agriculture R&amp;D projects</w:t>
      </w:r>
      <w:r w:rsidRPr="0CEE359B">
        <w:rPr>
          <w:lang w:val="en-GB"/>
        </w:rPr>
        <w:t>)</w:t>
      </w:r>
    </w:p>
    <w:p w14:paraId="65486889" w14:textId="28A58B9A" w:rsidR="7825E75B" w:rsidRDefault="3A952629" w:rsidP="7825E75B">
      <w:pPr>
        <w:pStyle w:val="Lijstalinea"/>
        <w:numPr>
          <w:ilvl w:val="1"/>
          <w:numId w:val="13"/>
        </w:numPr>
        <w:rPr>
          <w:u w:val="single"/>
          <w:lang w:val="en-US"/>
        </w:rPr>
      </w:pPr>
      <w:r w:rsidRPr="6A07BA05">
        <w:rPr>
          <w:lang w:val="en-US"/>
        </w:rPr>
        <w:t xml:space="preserve">Applicable for LATR </w:t>
      </w:r>
      <w:r w:rsidRPr="3AAF540F">
        <w:rPr>
          <w:lang w:val="en-US"/>
        </w:rPr>
        <w:t>type regular</w:t>
      </w:r>
      <w:r w:rsidRPr="2675EBEC">
        <w:rPr>
          <w:lang w:val="en-US"/>
        </w:rPr>
        <w:t xml:space="preserve"> </w:t>
      </w:r>
      <w:r w:rsidRPr="6A07BA05">
        <w:rPr>
          <w:lang w:val="en-US"/>
        </w:rPr>
        <w:t xml:space="preserve">projects and </w:t>
      </w:r>
      <w:r w:rsidRPr="5BA72671">
        <w:rPr>
          <w:lang w:val="en-US"/>
        </w:rPr>
        <w:t>CLUS-</w:t>
      </w:r>
      <w:r w:rsidRPr="1EF0D66E">
        <w:rPr>
          <w:lang w:val="en-US"/>
        </w:rPr>
        <w:t>L</w:t>
      </w:r>
      <w:r w:rsidR="198EBE1C" w:rsidRPr="1EF0D66E">
        <w:rPr>
          <w:lang w:val="en-US"/>
        </w:rPr>
        <w:t>ATR</w:t>
      </w:r>
      <w:r w:rsidRPr="52B79432">
        <w:rPr>
          <w:lang w:val="en-US"/>
        </w:rPr>
        <w:t xml:space="preserve"> </w:t>
      </w:r>
      <w:r w:rsidRPr="2675EBEC">
        <w:rPr>
          <w:lang w:val="en-US"/>
        </w:rPr>
        <w:t xml:space="preserve">type </w:t>
      </w:r>
      <w:r w:rsidRPr="3AAF540F">
        <w:rPr>
          <w:lang w:val="en-US"/>
        </w:rPr>
        <w:t xml:space="preserve">cluster </w:t>
      </w:r>
      <w:r w:rsidRPr="1BD3BECF">
        <w:rPr>
          <w:lang w:val="en-US"/>
        </w:rPr>
        <w:t>projects</w:t>
      </w:r>
    </w:p>
    <w:p w14:paraId="352E2EE2" w14:textId="770FD710" w:rsidR="004676EB" w:rsidRPr="00560933" w:rsidRDefault="00AE3AB5" w:rsidP="008A75EE">
      <w:pPr>
        <w:pStyle w:val="Lijstalinea"/>
        <w:numPr>
          <w:ilvl w:val="0"/>
          <w:numId w:val="13"/>
        </w:numPr>
        <w:rPr>
          <w:u w:val="single"/>
          <w:lang w:val="en-US"/>
        </w:rPr>
      </w:pPr>
      <w:r w:rsidRPr="0CEE359B">
        <w:rPr>
          <w:u w:val="single"/>
          <w:lang w:val="en-US"/>
        </w:rPr>
        <w:t>Annex 4</w:t>
      </w:r>
      <w:r w:rsidR="6B642F2F" w:rsidRPr="0CEE359B">
        <w:rPr>
          <w:u w:val="single"/>
          <w:lang w:val="en-US"/>
        </w:rPr>
        <w:t>i</w:t>
      </w:r>
      <w:r w:rsidRPr="0CEE359B">
        <w:rPr>
          <w:u w:val="single"/>
          <w:lang w:val="en-US"/>
        </w:rPr>
        <w:t xml:space="preserve">. </w:t>
      </w:r>
      <w:proofErr w:type="spellStart"/>
      <w:r w:rsidRPr="0CEE359B">
        <w:rPr>
          <w:u w:val="single"/>
          <w:lang w:val="en-US"/>
        </w:rPr>
        <w:t>Handleiding</w:t>
      </w:r>
      <w:proofErr w:type="spellEnd"/>
      <w:r w:rsidRPr="0CEE359B">
        <w:rPr>
          <w:u w:val="single"/>
          <w:lang w:val="en-US"/>
        </w:rPr>
        <w:t xml:space="preserve"> TETRA </w:t>
      </w:r>
      <w:proofErr w:type="spellStart"/>
      <w:r w:rsidRPr="0CEE359B">
        <w:rPr>
          <w:u w:val="single"/>
          <w:lang w:val="en-US"/>
        </w:rPr>
        <w:t>projecten</w:t>
      </w:r>
      <w:proofErr w:type="spellEnd"/>
      <w:r w:rsidRPr="0CEE359B">
        <w:rPr>
          <w:lang w:val="en-US"/>
        </w:rPr>
        <w:t xml:space="preserve">: Guide to TETRA projects (applied research at university colleges </w:t>
      </w:r>
      <w:r w:rsidR="00560933" w:rsidRPr="0CEE359B">
        <w:rPr>
          <w:lang w:val="en-US"/>
        </w:rPr>
        <w:t>and integrated training at universities)</w:t>
      </w:r>
    </w:p>
    <w:p w14:paraId="2306D111" w14:textId="121F007A" w:rsidR="326111A3" w:rsidRDefault="297A0811" w:rsidP="6121A8E3">
      <w:pPr>
        <w:pStyle w:val="Lijstalinea"/>
        <w:numPr>
          <w:ilvl w:val="1"/>
          <w:numId w:val="13"/>
        </w:numPr>
        <w:rPr>
          <w:u w:val="single"/>
          <w:lang w:val="en-US"/>
        </w:rPr>
      </w:pPr>
      <w:r w:rsidRPr="0FE24024">
        <w:rPr>
          <w:lang w:val="en-US"/>
        </w:rPr>
        <w:t xml:space="preserve">Applicable for TETRA </w:t>
      </w:r>
      <w:r w:rsidR="76BBF3A7" w:rsidRPr="62B06C52">
        <w:rPr>
          <w:lang w:val="en-US"/>
        </w:rPr>
        <w:t xml:space="preserve">type regular </w:t>
      </w:r>
      <w:r w:rsidRPr="7825E75B">
        <w:rPr>
          <w:lang w:val="en-US"/>
        </w:rPr>
        <w:t>projects</w:t>
      </w:r>
    </w:p>
    <w:p w14:paraId="4D46D32A" w14:textId="3092822C" w:rsidR="00560933" w:rsidRPr="00DD6071" w:rsidRDefault="00560933" w:rsidP="008A75EE">
      <w:pPr>
        <w:pStyle w:val="Lijstalinea"/>
        <w:numPr>
          <w:ilvl w:val="0"/>
          <w:numId w:val="13"/>
        </w:numPr>
        <w:rPr>
          <w:u w:val="single"/>
          <w:lang w:val="nl-BE"/>
        </w:rPr>
      </w:pPr>
      <w:r w:rsidRPr="00DD6071">
        <w:rPr>
          <w:u w:val="single"/>
          <w:lang w:val="nl-BE"/>
        </w:rPr>
        <w:t>Annex 4</w:t>
      </w:r>
      <w:r w:rsidR="3BC49B32" w:rsidRPr="00DD6071">
        <w:rPr>
          <w:u w:val="single"/>
          <w:lang w:val="nl-BE"/>
        </w:rPr>
        <w:t>j</w:t>
      </w:r>
      <w:r w:rsidRPr="00DD6071">
        <w:rPr>
          <w:u w:val="single"/>
          <w:lang w:val="nl-BE"/>
        </w:rPr>
        <w:t>. Toelichtingsdocument Ontwikkelingsprojecten - Onderzoeksprojecten - O&amp;O Haalbaarheidsstudies</w:t>
      </w:r>
      <w:r w:rsidRPr="00DD6071">
        <w:rPr>
          <w:lang w:val="nl-BE"/>
        </w:rPr>
        <w:t xml:space="preserve">: Guide </w:t>
      </w:r>
      <w:proofErr w:type="spellStart"/>
      <w:r w:rsidRPr="00DD6071">
        <w:rPr>
          <w:lang w:val="nl-BE"/>
        </w:rPr>
        <w:t>to</w:t>
      </w:r>
      <w:proofErr w:type="spellEnd"/>
      <w:r w:rsidRPr="00DD6071">
        <w:rPr>
          <w:lang w:val="nl-BE"/>
        </w:rPr>
        <w:t xml:space="preserve"> company R&amp;D </w:t>
      </w:r>
      <w:proofErr w:type="spellStart"/>
      <w:r w:rsidRPr="00DD6071">
        <w:rPr>
          <w:lang w:val="nl-BE"/>
        </w:rPr>
        <w:t>projects</w:t>
      </w:r>
      <w:proofErr w:type="spellEnd"/>
      <w:r w:rsidRPr="00DD6071">
        <w:rPr>
          <w:lang w:val="nl-BE"/>
        </w:rPr>
        <w:t xml:space="preserve"> </w:t>
      </w:r>
      <w:proofErr w:type="spellStart"/>
      <w:r w:rsidRPr="00DD6071">
        <w:rPr>
          <w:lang w:val="nl-BE"/>
        </w:rPr>
        <w:t>and</w:t>
      </w:r>
      <w:proofErr w:type="spellEnd"/>
      <w:r w:rsidRPr="00DD6071">
        <w:rPr>
          <w:lang w:val="nl-BE"/>
        </w:rPr>
        <w:t xml:space="preserve"> R&amp;D </w:t>
      </w:r>
      <w:proofErr w:type="spellStart"/>
      <w:r w:rsidRPr="00DD6071">
        <w:rPr>
          <w:lang w:val="nl-BE"/>
        </w:rPr>
        <w:t>feasibility</w:t>
      </w:r>
      <w:proofErr w:type="spellEnd"/>
      <w:r w:rsidRPr="00DD6071">
        <w:rPr>
          <w:lang w:val="nl-BE"/>
        </w:rPr>
        <w:t xml:space="preserve"> studies</w:t>
      </w:r>
    </w:p>
    <w:p w14:paraId="11E25FD6" w14:textId="6398F415" w:rsidR="1A5DC8B3" w:rsidRDefault="1837FEA6" w:rsidP="1A5DC8B3">
      <w:pPr>
        <w:pStyle w:val="Lijstalinea"/>
        <w:numPr>
          <w:ilvl w:val="1"/>
          <w:numId w:val="13"/>
        </w:numPr>
        <w:rPr>
          <w:u w:val="single"/>
          <w:lang w:val="en-US"/>
        </w:rPr>
      </w:pPr>
      <w:r w:rsidRPr="1BB69B5E">
        <w:rPr>
          <w:lang w:val="en-US"/>
        </w:rPr>
        <w:t xml:space="preserve">Applicable for </w:t>
      </w:r>
      <w:r w:rsidRPr="36C7B859">
        <w:rPr>
          <w:lang w:val="en-US"/>
        </w:rPr>
        <w:t>OND, ONTW</w:t>
      </w:r>
      <w:r w:rsidRPr="2AA11CD0">
        <w:rPr>
          <w:lang w:val="en-US"/>
        </w:rPr>
        <w:t xml:space="preserve">, </w:t>
      </w:r>
      <w:r w:rsidRPr="4037B759">
        <w:rPr>
          <w:lang w:val="en-US"/>
        </w:rPr>
        <w:t xml:space="preserve">and </w:t>
      </w:r>
      <w:r w:rsidRPr="2AA11CD0">
        <w:rPr>
          <w:lang w:val="en-US"/>
        </w:rPr>
        <w:t>HS</w:t>
      </w:r>
      <w:r w:rsidRPr="4134C898">
        <w:rPr>
          <w:lang w:val="en-US"/>
        </w:rPr>
        <w:t xml:space="preserve"> </w:t>
      </w:r>
      <w:r w:rsidRPr="4037B759">
        <w:rPr>
          <w:lang w:val="en-US"/>
        </w:rPr>
        <w:t xml:space="preserve">type </w:t>
      </w:r>
      <w:r w:rsidRPr="321C1AB4">
        <w:rPr>
          <w:lang w:val="en-US"/>
        </w:rPr>
        <w:t>regular</w:t>
      </w:r>
      <w:r w:rsidRPr="4037B759">
        <w:rPr>
          <w:lang w:val="en-US"/>
        </w:rPr>
        <w:t xml:space="preserve"> </w:t>
      </w:r>
      <w:r w:rsidRPr="51F23082">
        <w:rPr>
          <w:lang w:val="en-US"/>
        </w:rPr>
        <w:t>projects and CLUS-COOP-</w:t>
      </w:r>
      <w:r w:rsidRPr="367BD0FE">
        <w:rPr>
          <w:lang w:val="en-US"/>
        </w:rPr>
        <w:t xml:space="preserve">OND </w:t>
      </w:r>
      <w:r w:rsidRPr="7E138D2E">
        <w:rPr>
          <w:lang w:val="en-US"/>
        </w:rPr>
        <w:t>and CLUS-</w:t>
      </w:r>
      <w:r w:rsidRPr="48E4E35A">
        <w:rPr>
          <w:lang w:val="en-US"/>
        </w:rPr>
        <w:t>COOP-ONTW</w:t>
      </w:r>
      <w:r w:rsidRPr="110D7DD5">
        <w:rPr>
          <w:lang w:val="en-US"/>
        </w:rPr>
        <w:t xml:space="preserve"> type </w:t>
      </w:r>
      <w:r w:rsidRPr="407CAE48">
        <w:rPr>
          <w:lang w:val="en-US"/>
        </w:rPr>
        <w:t xml:space="preserve">cluster </w:t>
      </w:r>
      <w:r w:rsidRPr="4134C898">
        <w:rPr>
          <w:lang w:val="en-US"/>
        </w:rPr>
        <w:t>projects</w:t>
      </w:r>
    </w:p>
    <w:p w14:paraId="29080923" w14:textId="0CA753EF" w:rsidR="770559B7" w:rsidRDefault="1837FEA6" w:rsidP="770559B7">
      <w:pPr>
        <w:pStyle w:val="Lijstalinea"/>
        <w:numPr>
          <w:ilvl w:val="0"/>
          <w:numId w:val="13"/>
        </w:numPr>
        <w:rPr>
          <w:u w:val="single"/>
          <w:lang w:val="en-US"/>
        </w:rPr>
      </w:pPr>
      <w:r w:rsidRPr="0CEE359B">
        <w:rPr>
          <w:u w:val="single"/>
          <w:lang w:val="en-US"/>
        </w:rPr>
        <w:t>Annex 4</w:t>
      </w:r>
      <w:r w:rsidR="168C0E5A" w:rsidRPr="0CEE359B">
        <w:rPr>
          <w:u w:val="single"/>
          <w:lang w:val="en-US"/>
        </w:rPr>
        <w:t>k</w:t>
      </w:r>
      <w:r w:rsidRPr="0CEE359B">
        <w:rPr>
          <w:u w:val="single"/>
          <w:lang w:val="en-US"/>
        </w:rPr>
        <w:t xml:space="preserve">. ICON </w:t>
      </w:r>
      <w:proofErr w:type="spellStart"/>
      <w:r w:rsidRPr="0CEE359B">
        <w:rPr>
          <w:u w:val="single"/>
          <w:lang w:val="en-US"/>
        </w:rPr>
        <w:t>Toelichtingsdocument</w:t>
      </w:r>
      <w:proofErr w:type="spellEnd"/>
      <w:r w:rsidRPr="0CEE359B">
        <w:rPr>
          <w:lang w:val="en-US"/>
        </w:rPr>
        <w:t>: Informative document and guide for ICON projects</w:t>
      </w:r>
    </w:p>
    <w:p w14:paraId="1E8B333D" w14:textId="487D4C27" w:rsidR="1837FEA6" w:rsidRDefault="1837FEA6" w:rsidP="0265FA19">
      <w:pPr>
        <w:pStyle w:val="Lijstalinea"/>
        <w:numPr>
          <w:ilvl w:val="1"/>
          <w:numId w:val="13"/>
        </w:numPr>
        <w:rPr>
          <w:u w:val="single"/>
          <w:lang w:val="en-US"/>
        </w:rPr>
      </w:pPr>
      <w:r w:rsidRPr="1A5DC8B3">
        <w:rPr>
          <w:lang w:val="en-US"/>
        </w:rPr>
        <w:t>Applicable for CLUS-ICON-OND type cluster projects</w:t>
      </w:r>
    </w:p>
    <w:p w14:paraId="639869CF" w14:textId="40A92323" w:rsidR="63FBC1D1" w:rsidRDefault="5291BD8F" w:rsidP="2FE7E425">
      <w:pPr>
        <w:pStyle w:val="Lijstalinea"/>
        <w:numPr>
          <w:ilvl w:val="0"/>
          <w:numId w:val="13"/>
        </w:numPr>
        <w:rPr>
          <w:u w:val="single"/>
          <w:lang w:val="en-US"/>
        </w:rPr>
      </w:pPr>
      <w:r w:rsidRPr="0CEE359B">
        <w:rPr>
          <w:u w:val="single"/>
          <w:lang w:val="en-US"/>
        </w:rPr>
        <w:t>Annex 4</w:t>
      </w:r>
      <w:r w:rsidR="668FECE3" w:rsidRPr="0CEE359B">
        <w:rPr>
          <w:u w:val="single"/>
          <w:lang w:val="en-US"/>
        </w:rPr>
        <w:t>l</w:t>
      </w:r>
      <w:r w:rsidRPr="0CEE359B">
        <w:rPr>
          <w:u w:val="single"/>
          <w:lang w:val="en-US"/>
        </w:rPr>
        <w:t xml:space="preserve">. </w:t>
      </w:r>
      <w:proofErr w:type="spellStart"/>
      <w:r w:rsidRPr="0CEE359B">
        <w:rPr>
          <w:u w:val="single"/>
          <w:lang w:val="en-US"/>
        </w:rPr>
        <w:t>Handleiding</w:t>
      </w:r>
      <w:proofErr w:type="spellEnd"/>
      <w:r w:rsidRPr="0CEE359B">
        <w:rPr>
          <w:u w:val="single"/>
          <w:lang w:val="en-US"/>
        </w:rPr>
        <w:t xml:space="preserve"> CLUS-SBO</w:t>
      </w:r>
    </w:p>
    <w:p w14:paraId="31B1710D" w14:textId="48E0E680" w:rsidR="5291BD8F" w:rsidRDefault="5291BD8F" w:rsidP="4FB478D6">
      <w:pPr>
        <w:pStyle w:val="Lijstalinea"/>
        <w:numPr>
          <w:ilvl w:val="1"/>
          <w:numId w:val="13"/>
        </w:numPr>
        <w:rPr>
          <w:u w:val="single"/>
          <w:lang w:val="en-US"/>
        </w:rPr>
      </w:pPr>
      <w:r w:rsidRPr="4FB478D6">
        <w:rPr>
          <w:lang w:val="en-US"/>
        </w:rPr>
        <w:t xml:space="preserve">Applicable for </w:t>
      </w:r>
      <w:r w:rsidRPr="54064E48">
        <w:rPr>
          <w:lang w:val="en-US"/>
        </w:rPr>
        <w:t>CLUS-</w:t>
      </w:r>
      <w:r w:rsidRPr="69CB1543">
        <w:rPr>
          <w:lang w:val="en-US"/>
        </w:rPr>
        <w:t xml:space="preserve">CSBO </w:t>
      </w:r>
      <w:r w:rsidRPr="7DBF8677">
        <w:rPr>
          <w:lang w:val="en-US"/>
        </w:rPr>
        <w:t>type cluster projects</w:t>
      </w:r>
    </w:p>
    <w:p w14:paraId="545CC206" w14:textId="75B4BDA1" w:rsidR="1ABAA7F4" w:rsidRDefault="1ABAA7F4" w:rsidP="4269C4A0">
      <w:pPr>
        <w:pStyle w:val="Lijstalinea"/>
        <w:numPr>
          <w:ilvl w:val="0"/>
          <w:numId w:val="13"/>
        </w:numPr>
        <w:rPr>
          <w:u w:val="single"/>
          <w:lang w:val="en-US"/>
        </w:rPr>
      </w:pPr>
      <w:r w:rsidRPr="0CEE359B">
        <w:rPr>
          <w:u w:val="single"/>
          <w:lang w:val="nl-BE"/>
        </w:rPr>
        <w:t>Annex 4m. Besluit van de Vlaamse Regering houdende de oprichting van een programma voor de bevordering van [kennistransfer (</w:t>
      </w:r>
      <w:proofErr w:type="spellStart"/>
      <w:r w:rsidRPr="0CEE359B">
        <w:rPr>
          <w:u w:val="single"/>
          <w:lang w:val="nl-BE"/>
        </w:rPr>
        <w:t>verv</w:t>
      </w:r>
      <w:proofErr w:type="spellEnd"/>
      <w:r w:rsidRPr="0CEE359B">
        <w:rPr>
          <w:u w:val="single"/>
          <w:lang w:val="nl-BE"/>
        </w:rPr>
        <w:t xml:space="preserve">. </w:t>
      </w:r>
      <w:r w:rsidRPr="0CEE359B">
        <w:rPr>
          <w:u w:val="single"/>
          <w:lang w:val="en-US"/>
        </w:rPr>
        <w:t xml:space="preserve">BVR 23 </w:t>
      </w:r>
      <w:proofErr w:type="spellStart"/>
      <w:r w:rsidRPr="0CEE359B">
        <w:rPr>
          <w:u w:val="single"/>
          <w:lang w:val="en-US"/>
        </w:rPr>
        <w:t>mei</w:t>
      </w:r>
      <w:proofErr w:type="spellEnd"/>
      <w:r w:rsidRPr="0CEE359B">
        <w:rPr>
          <w:u w:val="single"/>
          <w:lang w:val="en-US"/>
        </w:rPr>
        <w:t xml:space="preserve"> 2014, art. 1, I_ 18 </w:t>
      </w:r>
      <w:proofErr w:type="spellStart"/>
      <w:r w:rsidRPr="0CEE359B">
        <w:rPr>
          <w:u w:val="single"/>
          <w:lang w:val="en-US"/>
        </w:rPr>
        <w:t>augustus</w:t>
      </w:r>
      <w:proofErr w:type="spellEnd"/>
      <w:r w:rsidRPr="0CEE359B">
        <w:rPr>
          <w:u w:val="single"/>
          <w:lang w:val="en-US"/>
        </w:rPr>
        <w:t xml:space="preserve"> 2014)] door </w:t>
      </w:r>
      <w:proofErr w:type="spellStart"/>
      <w:r w:rsidRPr="0CEE359B">
        <w:rPr>
          <w:u w:val="single"/>
          <w:lang w:val="en-US"/>
        </w:rPr>
        <w:t>instellingen</w:t>
      </w:r>
      <w:proofErr w:type="spellEnd"/>
      <w:r w:rsidRPr="0CEE359B">
        <w:rPr>
          <w:u w:val="single"/>
          <w:lang w:val="en-US"/>
        </w:rPr>
        <w:t xml:space="preserve"> van </w:t>
      </w:r>
      <w:proofErr w:type="spellStart"/>
      <w:r w:rsidRPr="0CEE359B">
        <w:rPr>
          <w:u w:val="single"/>
          <w:lang w:val="en-US"/>
        </w:rPr>
        <w:t>hoger</w:t>
      </w:r>
      <w:proofErr w:type="spellEnd"/>
      <w:r w:rsidRPr="0CEE359B">
        <w:rPr>
          <w:u w:val="single"/>
          <w:lang w:val="en-US"/>
        </w:rPr>
        <w:t xml:space="preserve"> </w:t>
      </w:r>
      <w:proofErr w:type="spellStart"/>
      <w:r w:rsidRPr="0CEE359B">
        <w:rPr>
          <w:u w:val="single"/>
          <w:lang w:val="en-US"/>
        </w:rPr>
        <w:t>onderwijs</w:t>
      </w:r>
      <w:proofErr w:type="spellEnd"/>
      <w:r w:rsidRPr="0CEE359B">
        <w:rPr>
          <w:lang w:val="en-US"/>
        </w:rPr>
        <w:t>: Decree of the Flemish Government concerning knowledge transfer in higher education</w:t>
      </w:r>
    </w:p>
    <w:p w14:paraId="23D4A4F3" w14:textId="732C383D" w:rsidR="1ABAA7F4" w:rsidRDefault="1ABAA7F4" w:rsidP="4269C4A0">
      <w:pPr>
        <w:pStyle w:val="Lijstalinea"/>
        <w:numPr>
          <w:ilvl w:val="1"/>
          <w:numId w:val="13"/>
        </w:numPr>
        <w:rPr>
          <w:u w:val="single"/>
          <w:lang w:val="en-US"/>
        </w:rPr>
      </w:pPr>
      <w:r w:rsidRPr="4269C4A0">
        <w:rPr>
          <w:lang w:val="en-US"/>
        </w:rPr>
        <w:t>Applicable for TETRA type regular projects</w:t>
      </w:r>
    </w:p>
    <w:p w14:paraId="0318EBBE" w14:textId="6FA740B0" w:rsidR="00560933" w:rsidRPr="009C762C" w:rsidRDefault="009C762C" w:rsidP="009C762C">
      <w:pPr>
        <w:pStyle w:val="Lijstalinea"/>
        <w:numPr>
          <w:ilvl w:val="0"/>
          <w:numId w:val="13"/>
        </w:numPr>
        <w:rPr>
          <w:lang w:val="en-US"/>
        </w:rPr>
      </w:pPr>
      <w:r w:rsidRPr="0CEE359B">
        <w:rPr>
          <w:u w:val="single"/>
          <w:lang w:val="en-US"/>
        </w:rPr>
        <w:t xml:space="preserve">Annex 5. </w:t>
      </w:r>
      <w:proofErr w:type="spellStart"/>
      <w:r w:rsidRPr="0CEE359B">
        <w:rPr>
          <w:u w:val="single"/>
          <w:lang w:val="en-US"/>
        </w:rPr>
        <w:t>Toepassing</w:t>
      </w:r>
      <w:proofErr w:type="spellEnd"/>
      <w:r w:rsidRPr="0CEE359B">
        <w:rPr>
          <w:u w:val="single"/>
          <w:lang w:val="en-US"/>
        </w:rPr>
        <w:t xml:space="preserve"> DNSH - </w:t>
      </w:r>
      <w:proofErr w:type="spellStart"/>
      <w:r w:rsidRPr="0CEE359B">
        <w:rPr>
          <w:u w:val="single"/>
          <w:lang w:val="en-US"/>
        </w:rPr>
        <w:t>maatregel</w:t>
      </w:r>
      <w:proofErr w:type="spellEnd"/>
      <w:r w:rsidRPr="0CEE359B">
        <w:rPr>
          <w:u w:val="single"/>
          <w:lang w:val="en-US"/>
        </w:rPr>
        <w:t xml:space="preserve"> 5.11</w:t>
      </w:r>
      <w:r w:rsidRPr="0CEE359B">
        <w:rPr>
          <w:lang w:val="en-US"/>
        </w:rPr>
        <w:t>: Document ensuring compliance with DNSH for all projects financed under measure 5.11</w:t>
      </w:r>
    </w:p>
    <w:p w14:paraId="10B76166" w14:textId="77777777" w:rsidR="00B35776" w:rsidRPr="009C762C" w:rsidRDefault="00B35776" w:rsidP="009C1B25">
      <w:pPr>
        <w:rPr>
          <w:b/>
          <w:u w:val="single"/>
          <w:lang w:val="en-US"/>
        </w:rPr>
      </w:pPr>
    </w:p>
    <w:p w14:paraId="596F53E6" w14:textId="77777777" w:rsidR="00F91B2C" w:rsidRPr="00757733" w:rsidRDefault="001576BD" w:rsidP="00757733">
      <w:pPr>
        <w:jc w:val="both"/>
        <w:rPr>
          <w:b/>
          <w:u w:val="single"/>
          <w:lang w:val="en-GB"/>
        </w:rPr>
      </w:pPr>
      <w:r w:rsidRPr="00757733">
        <w:rPr>
          <w:b/>
          <w:u w:val="single"/>
          <w:lang w:val="en-GB"/>
        </w:rPr>
        <w:t xml:space="preserve">B. </w:t>
      </w:r>
      <w:r w:rsidR="00F91B2C" w:rsidRPr="00757733">
        <w:rPr>
          <w:b/>
          <w:u w:val="single"/>
          <w:lang w:val="en-GB"/>
        </w:rPr>
        <w:t>Detailed justification:</w:t>
      </w:r>
    </w:p>
    <w:p w14:paraId="43BF9BAD" w14:textId="18F8D682" w:rsidR="00B8407A" w:rsidRDefault="00333664" w:rsidP="00B8407A">
      <w:pPr>
        <w:pBdr>
          <w:top w:val="single" w:sz="4" w:space="1" w:color="auto"/>
          <w:left w:val="single" w:sz="4" w:space="4" w:color="auto"/>
          <w:bottom w:val="single" w:sz="4" w:space="1" w:color="auto"/>
          <w:right w:val="single" w:sz="4" w:space="4" w:color="auto"/>
        </w:pBdr>
        <w:rPr>
          <w:i/>
          <w:iCs/>
          <w:lang w:val="en-GB"/>
        </w:rPr>
      </w:pPr>
      <w:r w:rsidRPr="107FEA7C">
        <w:rPr>
          <w:i/>
          <w:iCs/>
          <w:lang w:val="en-GB"/>
        </w:rPr>
        <w:t>[</w:t>
      </w:r>
      <w:r w:rsidR="00F91B2C" w:rsidRPr="107FEA7C">
        <w:rPr>
          <w:i/>
          <w:iCs/>
          <w:lang w:val="en-GB"/>
        </w:rPr>
        <w:t xml:space="preserve">Explain clearly </w:t>
      </w:r>
      <w:r w:rsidR="003724C6" w:rsidRPr="107FEA7C">
        <w:rPr>
          <w:i/>
          <w:iCs/>
          <w:lang w:val="en-GB"/>
        </w:rPr>
        <w:t>how the achieve</w:t>
      </w:r>
      <w:r w:rsidR="0057538D" w:rsidRPr="107FEA7C">
        <w:rPr>
          <w:i/>
          <w:iCs/>
          <w:lang w:val="en-GB"/>
        </w:rPr>
        <w:t xml:space="preserve">ment of the milestone/target </w:t>
      </w:r>
      <w:r w:rsidR="00680F49" w:rsidRPr="107FEA7C">
        <w:rPr>
          <w:i/>
          <w:iCs/>
          <w:lang w:val="en-GB"/>
        </w:rPr>
        <w:t>is demonstrated by the evidence provided</w:t>
      </w:r>
      <w:r w:rsidR="00297677" w:rsidRPr="107FEA7C">
        <w:rPr>
          <w:i/>
          <w:iCs/>
          <w:lang w:val="en-GB"/>
        </w:rPr>
        <w:t xml:space="preserve">, </w:t>
      </w:r>
      <w:r w:rsidR="00297677" w:rsidRPr="107FEA7C">
        <w:rPr>
          <w:b/>
          <w:bCs/>
          <w:i/>
          <w:iCs/>
          <w:lang w:val="en-GB"/>
        </w:rPr>
        <w:t xml:space="preserve">covering </w:t>
      </w:r>
      <w:r w:rsidR="002B2C14" w:rsidRPr="107FEA7C">
        <w:rPr>
          <w:b/>
          <w:bCs/>
          <w:i/>
          <w:iCs/>
          <w:lang w:val="en-GB"/>
        </w:rPr>
        <w:t>ALL</w:t>
      </w:r>
      <w:r w:rsidR="00297677" w:rsidRPr="107FEA7C">
        <w:rPr>
          <w:b/>
          <w:bCs/>
          <w:i/>
          <w:iCs/>
          <w:lang w:val="en-GB"/>
        </w:rPr>
        <w:t xml:space="preserve"> elements of the milestone</w:t>
      </w:r>
      <w:r w:rsidR="367017FF" w:rsidRPr="107FEA7C">
        <w:rPr>
          <w:b/>
          <w:bCs/>
          <w:i/>
          <w:iCs/>
          <w:lang w:val="en-GB"/>
        </w:rPr>
        <w:t>/target</w:t>
      </w:r>
      <w:r w:rsidR="00BE5A63">
        <w:rPr>
          <w:b/>
          <w:bCs/>
          <w:i/>
          <w:iCs/>
          <w:lang w:val="en-GB"/>
        </w:rPr>
        <w:t xml:space="preserve">. </w:t>
      </w:r>
      <w:r w:rsidR="00BE5A63" w:rsidRPr="00B8407A">
        <w:rPr>
          <w:i/>
          <w:iCs/>
          <w:lang w:val="en-GB"/>
        </w:rPr>
        <w:t xml:space="preserve"> </w:t>
      </w:r>
      <w:r w:rsidR="00BE5A63">
        <w:rPr>
          <w:i/>
          <w:iCs/>
          <w:lang w:val="en-GB"/>
        </w:rPr>
        <w:t xml:space="preserve">(e.g. the fact that </w:t>
      </w:r>
      <w:r w:rsidR="00BE5A63" w:rsidRPr="488DBBB0">
        <w:rPr>
          <w:i/>
          <w:iCs/>
          <w:lang w:val="en-GB"/>
        </w:rPr>
        <w:t>(</w:t>
      </w:r>
      <w:proofErr w:type="spellStart"/>
      <w:r w:rsidR="00BE5A63" w:rsidRPr="488DBBB0">
        <w:rPr>
          <w:i/>
          <w:iCs/>
          <w:lang w:val="en-GB"/>
        </w:rPr>
        <w:t>i</w:t>
      </w:r>
      <w:proofErr w:type="spellEnd"/>
      <w:r w:rsidR="00BE5A63" w:rsidRPr="488DBBB0">
        <w:rPr>
          <w:i/>
          <w:iCs/>
          <w:lang w:val="en-GB"/>
        </w:rPr>
        <w:t xml:space="preserve">) a certain </w:t>
      </w:r>
      <w:r w:rsidR="00BE5A63" w:rsidRPr="005B0B19">
        <w:rPr>
          <w:i/>
          <w:iCs/>
          <w:u w:val="single"/>
          <w:lang w:val="en-GB"/>
        </w:rPr>
        <w:t>institution</w:t>
      </w:r>
      <w:r w:rsidR="00BE5A63" w:rsidRPr="488DBBB0">
        <w:rPr>
          <w:i/>
          <w:iCs/>
          <w:lang w:val="en-GB"/>
        </w:rPr>
        <w:t xml:space="preserve"> had (ii) to </w:t>
      </w:r>
      <w:r w:rsidR="00BE5A63" w:rsidRPr="005B0B19">
        <w:rPr>
          <w:i/>
          <w:iCs/>
          <w:u w:val="single"/>
          <w:lang w:val="en-GB"/>
        </w:rPr>
        <w:t>accomplish</w:t>
      </w:r>
      <w:r w:rsidR="00BE5A63" w:rsidRPr="488DBBB0">
        <w:rPr>
          <w:i/>
          <w:iCs/>
          <w:lang w:val="en-GB"/>
        </w:rPr>
        <w:t xml:space="preserve"> something (iii) in </w:t>
      </w:r>
      <w:r w:rsidR="00BE5A63" w:rsidRPr="005B0B19">
        <w:rPr>
          <w:i/>
          <w:iCs/>
          <w:u w:val="single"/>
          <w:lang w:val="en-GB"/>
        </w:rPr>
        <w:t>a certain w</w:t>
      </w:r>
      <w:r w:rsidR="00BE5A63" w:rsidRPr="488DBBB0">
        <w:rPr>
          <w:i/>
          <w:iCs/>
          <w:lang w:val="en-GB"/>
        </w:rPr>
        <w:t xml:space="preserve">ay in order (iv) to </w:t>
      </w:r>
      <w:r w:rsidR="00BE5A63" w:rsidRPr="005B0B19">
        <w:rPr>
          <w:i/>
          <w:iCs/>
          <w:u w:val="single"/>
          <w:lang w:val="en-GB"/>
        </w:rPr>
        <w:t>achieve a certain goal</w:t>
      </w:r>
      <w:r w:rsidR="00BE5A63" w:rsidRPr="488DBBB0">
        <w:rPr>
          <w:i/>
          <w:iCs/>
          <w:lang w:val="en-GB"/>
        </w:rPr>
        <w:t xml:space="preserve"> (v) </w:t>
      </w:r>
      <w:r w:rsidR="00BE5A63" w:rsidRPr="005B0B19">
        <w:rPr>
          <w:i/>
          <w:iCs/>
          <w:u w:val="single"/>
          <w:lang w:val="en-GB"/>
        </w:rPr>
        <w:t>by a certain date</w:t>
      </w:r>
      <w:r w:rsidR="00BE5A63">
        <w:rPr>
          <w:i/>
          <w:iCs/>
          <w:u w:val="single"/>
          <w:lang w:val="en-GB"/>
        </w:rPr>
        <w:t>)</w:t>
      </w:r>
      <w:r w:rsidR="00297677" w:rsidRPr="107FEA7C">
        <w:rPr>
          <w:i/>
          <w:iCs/>
          <w:lang w:val="en-GB"/>
        </w:rPr>
        <w:t>.</w:t>
      </w:r>
      <w:r w:rsidR="00B33F95" w:rsidRPr="107FEA7C">
        <w:rPr>
          <w:i/>
          <w:iCs/>
          <w:lang w:val="en-GB"/>
        </w:rPr>
        <w:t xml:space="preserve"> </w:t>
      </w:r>
      <w:r w:rsidR="00297677" w:rsidRPr="107FEA7C">
        <w:rPr>
          <w:i/>
          <w:iCs/>
          <w:lang w:val="en-GB"/>
        </w:rPr>
        <w:t>T</w:t>
      </w:r>
      <w:r w:rsidR="00E87651" w:rsidRPr="107FEA7C">
        <w:rPr>
          <w:i/>
          <w:iCs/>
          <w:lang w:val="en-GB"/>
        </w:rPr>
        <w:t xml:space="preserve">he Commission is </w:t>
      </w:r>
      <w:r w:rsidR="00B33F95" w:rsidRPr="107FEA7C">
        <w:rPr>
          <w:i/>
          <w:iCs/>
          <w:lang w:val="en-GB"/>
        </w:rPr>
        <w:t xml:space="preserve">looking </w:t>
      </w:r>
      <w:r w:rsidR="00B33F95" w:rsidRPr="107FEA7C">
        <w:rPr>
          <w:b/>
          <w:bCs/>
          <w:i/>
          <w:iCs/>
          <w:lang w:val="en-GB"/>
        </w:rPr>
        <w:t xml:space="preserve">for a clear link between the elements </w:t>
      </w:r>
      <w:r w:rsidR="002B5D77" w:rsidRPr="107FEA7C">
        <w:rPr>
          <w:b/>
          <w:bCs/>
          <w:i/>
          <w:iCs/>
          <w:lang w:val="en-GB"/>
        </w:rPr>
        <w:t>of the milestone</w:t>
      </w:r>
      <w:r w:rsidR="47F40EF8" w:rsidRPr="107FEA7C">
        <w:rPr>
          <w:b/>
          <w:bCs/>
          <w:i/>
          <w:iCs/>
          <w:lang w:val="en-GB"/>
        </w:rPr>
        <w:t>/target</w:t>
      </w:r>
      <w:r w:rsidR="00B33F95" w:rsidRPr="107FEA7C">
        <w:rPr>
          <w:b/>
          <w:bCs/>
          <w:i/>
          <w:iCs/>
          <w:lang w:val="en-GB"/>
        </w:rPr>
        <w:t xml:space="preserve"> and </w:t>
      </w:r>
      <w:r w:rsidR="408F6FCD" w:rsidRPr="107FEA7C">
        <w:rPr>
          <w:b/>
          <w:bCs/>
          <w:i/>
          <w:iCs/>
          <w:lang w:val="en-GB"/>
        </w:rPr>
        <w:t xml:space="preserve">the </w:t>
      </w:r>
      <w:r w:rsidR="00B33F95" w:rsidRPr="107FEA7C">
        <w:rPr>
          <w:b/>
          <w:bCs/>
          <w:i/>
          <w:iCs/>
          <w:lang w:val="en-GB"/>
        </w:rPr>
        <w:t>evidence provided</w:t>
      </w:r>
      <w:r w:rsidR="00F15971">
        <w:rPr>
          <w:b/>
          <w:bCs/>
          <w:i/>
          <w:iCs/>
          <w:lang w:val="en-GB"/>
        </w:rPr>
        <w:t>.</w:t>
      </w:r>
    </w:p>
    <w:p w14:paraId="24B8488F" w14:textId="6B6AF562" w:rsidR="006819E7" w:rsidRDefault="006819E7" w:rsidP="00757733">
      <w:pPr>
        <w:spacing w:after="0" w:line="240" w:lineRule="auto"/>
        <w:rPr>
          <w:i/>
          <w:iCs/>
          <w:lang w:val="en-GB"/>
        </w:rPr>
      </w:pPr>
    </w:p>
    <w:tbl>
      <w:tblPr>
        <w:tblStyle w:val="Tabelraster"/>
        <w:tblW w:w="0" w:type="auto"/>
        <w:tblLook w:val="04A0" w:firstRow="1" w:lastRow="0" w:firstColumn="1" w:lastColumn="0" w:noHBand="0" w:noVBand="1"/>
      </w:tblPr>
      <w:tblGrid>
        <w:gridCol w:w="9060"/>
      </w:tblGrid>
      <w:tr w:rsidR="00685CD4" w14:paraId="64A1DB89" w14:textId="77777777" w:rsidTr="0CEE359B">
        <w:tc>
          <w:tcPr>
            <w:tcW w:w="9060" w:type="dxa"/>
          </w:tcPr>
          <w:p w14:paraId="6EB71983" w14:textId="1647C906" w:rsidR="009472DA" w:rsidRPr="009472DA" w:rsidRDefault="009472DA" w:rsidP="009472DA">
            <w:pPr>
              <w:jc w:val="both"/>
              <w:rPr>
                <w:b/>
                <w:lang w:val="en-US"/>
              </w:rPr>
            </w:pPr>
            <w:r w:rsidRPr="009472DA">
              <w:rPr>
                <w:b/>
                <w:lang w:val="en-US"/>
              </w:rPr>
              <w:t>Description of the measure:</w:t>
            </w:r>
            <w:r>
              <w:rPr>
                <w:b/>
                <w:lang w:val="en-US"/>
              </w:rPr>
              <w:t xml:space="preserve"> </w:t>
            </w:r>
            <w:r w:rsidRPr="009472DA">
              <w:rPr>
                <w:b/>
                <w:lang w:val="en-US"/>
              </w:rPr>
              <w:t>Investment I-5.11: ‘Strengthen R&amp;D’ of the Flemish Region</w:t>
            </w:r>
          </w:p>
          <w:p w14:paraId="6C6B3836" w14:textId="77777777" w:rsidR="009472DA" w:rsidRDefault="009472DA" w:rsidP="009472DA">
            <w:pPr>
              <w:jc w:val="both"/>
              <w:rPr>
                <w:b/>
                <w:lang w:val="en-US"/>
              </w:rPr>
            </w:pPr>
          </w:p>
          <w:p w14:paraId="015A96E0" w14:textId="5AF7B86E" w:rsidR="009472DA" w:rsidRPr="009472DA" w:rsidRDefault="009472DA" w:rsidP="009472DA">
            <w:pPr>
              <w:jc w:val="both"/>
              <w:rPr>
                <w:b/>
                <w:lang w:val="en-US"/>
              </w:rPr>
            </w:pPr>
            <w:r w:rsidRPr="009472DA">
              <w:rPr>
                <w:b/>
                <w:lang w:val="en-US"/>
              </w:rPr>
              <w:t xml:space="preserve">This investment aims at boosting innovation of Flanders’ economic operators through R&amp;D, with a particular focus on three areas: </w:t>
            </w:r>
            <w:proofErr w:type="spellStart"/>
            <w:r w:rsidRPr="009472DA">
              <w:rPr>
                <w:b/>
                <w:lang w:val="en-US"/>
              </w:rPr>
              <w:t>digitalisation</w:t>
            </w:r>
            <w:proofErr w:type="spellEnd"/>
            <w:r w:rsidRPr="009472DA">
              <w:rPr>
                <w:b/>
                <w:lang w:val="en-US"/>
              </w:rPr>
              <w:t>, sustainability and health. Two different axes are foreseen. A first axis shall target R&amp;I projects in areas where Flanders already performs well, with a focus on sustainable, digital and health related activities. The second axis shall focus on instruments targeting R&amp;D support to companies. Under this axis R&amp;D projects can for example relate to the pharmaceutical sector, and to 3D printing technology. The support for the participation to the planned IPCEI on micro-electronic is also foreseen. Under the measure at least 200 projects shall be awarded covering all areas of intervention of the measure.</w:t>
            </w:r>
          </w:p>
          <w:p w14:paraId="23FA5AB6" w14:textId="77777777" w:rsidR="009472DA" w:rsidRDefault="009472DA" w:rsidP="009472DA">
            <w:pPr>
              <w:jc w:val="both"/>
              <w:rPr>
                <w:b/>
                <w:lang w:val="en-US"/>
              </w:rPr>
            </w:pPr>
          </w:p>
          <w:p w14:paraId="1F12D833" w14:textId="6858712B" w:rsidR="009472DA" w:rsidRDefault="009472DA" w:rsidP="009472DA">
            <w:pPr>
              <w:jc w:val="both"/>
              <w:rPr>
                <w:b/>
                <w:lang w:val="en-US"/>
              </w:rPr>
            </w:pPr>
            <w:r w:rsidRPr="009472DA">
              <w:rPr>
                <w:b/>
                <w:lang w:val="en-US"/>
              </w:rPr>
              <w:t xml:space="preserve">In order to ensure that the measure complies with the ‘Do no significant harm’ Technical Guidance (2021/C58/01), the eligibility criteria contained in terms of reference for upcoming calls for </w:t>
            </w:r>
            <w:r w:rsidRPr="009472DA">
              <w:rPr>
                <w:b/>
                <w:lang w:val="en-US"/>
              </w:rPr>
              <w:lastRenderedPageBreak/>
              <w:t>projects shall exclude the following list of activities: (</w:t>
            </w:r>
            <w:proofErr w:type="spellStart"/>
            <w:r w:rsidRPr="009472DA">
              <w:rPr>
                <w:b/>
                <w:lang w:val="en-US"/>
              </w:rPr>
              <w:t>i</w:t>
            </w:r>
            <w:proofErr w:type="spellEnd"/>
            <w:r w:rsidRPr="009472DA">
              <w:rPr>
                <w:b/>
                <w:lang w:val="en-US"/>
              </w:rPr>
              <w:t>) activities related to fossil fuels, including downstream use; (ii) activities under the EU Emission Trading System achieving projected greenhouse gas emissions that are not lower than the relevant benchmarks12; (iii) activities related to waste landfills, incinerators13 and mechanical biological treatment plants14;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14:paraId="4E9E7413" w14:textId="77777777" w:rsidR="009472DA" w:rsidRDefault="009472DA" w:rsidP="009472DA">
            <w:pPr>
              <w:jc w:val="both"/>
              <w:rPr>
                <w:b/>
                <w:lang w:val="en-US"/>
              </w:rPr>
            </w:pPr>
          </w:p>
          <w:p w14:paraId="77C2DA2E" w14:textId="697DD388" w:rsidR="00A3696C" w:rsidRDefault="00FB36E5" w:rsidP="00FB36E5">
            <w:pPr>
              <w:spacing w:after="160" w:line="259" w:lineRule="auto"/>
              <w:rPr>
                <w:bCs/>
              </w:rPr>
            </w:pPr>
            <w:r w:rsidRPr="00FB36E5">
              <w:rPr>
                <w:bCs/>
              </w:rPr>
              <w:t xml:space="preserve">In this investment, 401 projects were approved in the field of research, development and innovation for a total amount of </w:t>
            </w:r>
            <w:r w:rsidR="00E43586">
              <w:rPr>
                <w:bCs/>
              </w:rPr>
              <w:t>€</w:t>
            </w:r>
            <w:r w:rsidRPr="00FB36E5">
              <w:rPr>
                <w:bCs/>
              </w:rPr>
              <w:t>244</w:t>
            </w:r>
            <w:r w:rsidR="00E43586">
              <w:rPr>
                <w:bCs/>
              </w:rPr>
              <w:t xml:space="preserve"> </w:t>
            </w:r>
            <w:r w:rsidRPr="00FB36E5">
              <w:rPr>
                <w:bCs/>
              </w:rPr>
              <w:t>860</w:t>
            </w:r>
            <w:r w:rsidR="00E43586">
              <w:rPr>
                <w:bCs/>
              </w:rPr>
              <w:t xml:space="preserve"> </w:t>
            </w:r>
            <w:r w:rsidRPr="00FB36E5">
              <w:rPr>
                <w:bCs/>
              </w:rPr>
              <w:t xml:space="preserve">397. </w:t>
            </w:r>
          </w:p>
          <w:p w14:paraId="46AD6092" w14:textId="0E0FFF75" w:rsidR="00FB36E5" w:rsidRPr="00FB36E5" w:rsidRDefault="00FB36E5" w:rsidP="00FB36E5">
            <w:pPr>
              <w:rPr>
                <w:bCs/>
              </w:rPr>
            </w:pPr>
            <w:r w:rsidRPr="00FB36E5">
              <w:rPr>
                <w:bCs/>
              </w:rPr>
              <w:t>On the one hand, the</w:t>
            </w:r>
            <w:r w:rsidR="00E43586">
              <w:rPr>
                <w:bCs/>
              </w:rPr>
              <w:t>r</w:t>
            </w:r>
            <w:r w:rsidRPr="00FB36E5">
              <w:rPr>
                <w:bCs/>
              </w:rPr>
              <w:t>e are projects in areas in which Flanders is already performing well. These projects are mainly</w:t>
            </w:r>
            <w:r w:rsidR="00E43586">
              <w:rPr>
                <w:bCs/>
              </w:rPr>
              <w:t xml:space="preserve"> </w:t>
            </w:r>
            <w:r w:rsidRPr="00FB36E5">
              <w:rPr>
                <w:bCs/>
              </w:rPr>
              <w:t>in the fields of care, sustainability, bioeconomy</w:t>
            </w:r>
            <w:r w:rsidR="00CA1E16">
              <w:rPr>
                <w:bCs/>
              </w:rPr>
              <w:t>, AI</w:t>
            </w:r>
            <w:r w:rsidR="00E43586">
              <w:rPr>
                <w:bCs/>
              </w:rPr>
              <w:t>,</w:t>
            </w:r>
            <w:r w:rsidRPr="00FB36E5">
              <w:rPr>
                <w:bCs/>
              </w:rPr>
              <w:t xml:space="preserve"> and digitalisation, which were approved in the </w:t>
            </w:r>
            <w:r w:rsidR="006F444D">
              <w:rPr>
                <w:bCs/>
              </w:rPr>
              <w:t xml:space="preserve">context </w:t>
            </w:r>
            <w:r w:rsidRPr="00FB36E5">
              <w:rPr>
                <w:bCs/>
              </w:rPr>
              <w:t>of the spearhead clusters within the Flemish cluster policy (</w:t>
            </w:r>
            <w:hyperlink r:id="rId10" w:history="1">
              <w:r w:rsidR="00A3696C" w:rsidRPr="00032303">
                <w:rPr>
                  <w:rStyle w:val="Hyperlink"/>
                  <w:bCs/>
                </w:rPr>
                <w:t>https://www.vlaio.be/nl/clusterorganisaties/het-clusterbeleid/het-vlaamse-clusterbeleid</w:t>
              </w:r>
            </w:hyperlink>
            <w:r w:rsidRPr="00FB36E5">
              <w:rPr>
                <w:bCs/>
              </w:rPr>
              <w:t>)</w:t>
            </w:r>
            <w:r w:rsidR="004C7C36">
              <w:rPr>
                <w:bCs/>
              </w:rPr>
              <w:t>,</w:t>
            </w:r>
            <w:r w:rsidRPr="00FB36E5">
              <w:rPr>
                <w:bCs/>
              </w:rPr>
              <w:t xml:space="preserve"> and projects submitted by Flemish knowledge institutions (</w:t>
            </w:r>
            <w:r w:rsidR="004C7C36">
              <w:rPr>
                <w:bCs/>
              </w:rPr>
              <w:t xml:space="preserve">e.g. </w:t>
            </w:r>
            <w:r w:rsidRPr="00FB36E5">
              <w:rPr>
                <w:bCs/>
              </w:rPr>
              <w:t xml:space="preserve">IMEC, VITO, Ghent University, KU Leuven, etc.). </w:t>
            </w:r>
          </w:p>
          <w:p w14:paraId="5F3645B3" w14:textId="65F99C85" w:rsidR="006A0371" w:rsidRDefault="00225974" w:rsidP="00FB36E5">
            <w:pPr>
              <w:spacing w:after="160" w:line="259" w:lineRule="auto"/>
              <w:rPr>
                <w:bCs/>
              </w:rPr>
            </w:pPr>
            <w:r>
              <w:rPr>
                <w:bCs/>
              </w:rPr>
              <w:t>On the other ha</w:t>
            </w:r>
            <w:r w:rsidR="00563EE8">
              <w:rPr>
                <w:bCs/>
              </w:rPr>
              <w:t>nd, a number of R,D</w:t>
            </w:r>
            <w:r w:rsidR="00A572F6">
              <w:rPr>
                <w:bCs/>
              </w:rPr>
              <w:t xml:space="preserve"> and I </w:t>
            </w:r>
            <w:r w:rsidR="00FB36E5" w:rsidRPr="00FB36E5">
              <w:rPr>
                <w:bCs/>
              </w:rPr>
              <w:t xml:space="preserve">projects were </w:t>
            </w:r>
            <w:r w:rsidR="00A572F6">
              <w:rPr>
                <w:bCs/>
              </w:rPr>
              <w:t>selected</w:t>
            </w:r>
            <w:r w:rsidR="00FB36E5" w:rsidRPr="00FB36E5">
              <w:rPr>
                <w:bCs/>
              </w:rPr>
              <w:t xml:space="preserve"> through the regular </w:t>
            </w:r>
            <w:r w:rsidR="00A572F6">
              <w:rPr>
                <w:bCs/>
              </w:rPr>
              <w:t>schemes</w:t>
            </w:r>
            <w:r w:rsidR="00FB36E5" w:rsidRPr="00FB36E5">
              <w:rPr>
                <w:bCs/>
              </w:rPr>
              <w:t xml:space="preserve"> of the Agency for Innovation and Entrepreneurship (research projects, development projects and feasibility studies). </w:t>
            </w:r>
          </w:p>
          <w:p w14:paraId="045E9CFB" w14:textId="108FD9B0" w:rsidR="00FB36E5" w:rsidRPr="00FB36E5" w:rsidRDefault="00FB36E5" w:rsidP="00FB36E5">
            <w:pPr>
              <w:rPr>
                <w:bCs/>
              </w:rPr>
            </w:pPr>
            <w:r w:rsidRPr="00FB36E5">
              <w:rPr>
                <w:bCs/>
              </w:rPr>
              <w:t>In the context measure</w:t>
            </w:r>
            <w:r w:rsidR="00B53F50">
              <w:rPr>
                <w:bCs/>
              </w:rPr>
              <w:t xml:space="preserve"> 5.11</w:t>
            </w:r>
            <w:r w:rsidRPr="00FB36E5">
              <w:rPr>
                <w:bCs/>
              </w:rPr>
              <w:t xml:space="preserve">, 2 projects were also approved in the </w:t>
            </w:r>
            <w:r w:rsidR="00A572F6">
              <w:rPr>
                <w:bCs/>
              </w:rPr>
              <w:t>context</w:t>
            </w:r>
            <w:r w:rsidRPr="00FB36E5">
              <w:rPr>
                <w:bCs/>
              </w:rPr>
              <w:t xml:space="preserve"> of an expression of interest </w:t>
            </w:r>
            <w:r w:rsidR="00E17D1C">
              <w:rPr>
                <w:bCs/>
              </w:rPr>
              <w:t>for the</w:t>
            </w:r>
            <w:r w:rsidRPr="00FB36E5">
              <w:rPr>
                <w:bCs/>
              </w:rPr>
              <w:t xml:space="preserve"> </w:t>
            </w:r>
            <w:r w:rsidR="00A572F6">
              <w:rPr>
                <w:bCs/>
              </w:rPr>
              <w:t xml:space="preserve">IPCEI </w:t>
            </w:r>
            <w:r w:rsidRPr="00FB36E5">
              <w:rPr>
                <w:bCs/>
              </w:rPr>
              <w:t>micro</w:t>
            </w:r>
            <w:r w:rsidR="00B53F50">
              <w:rPr>
                <w:bCs/>
              </w:rPr>
              <w:t>-</w:t>
            </w:r>
            <w:r w:rsidRPr="00FB36E5">
              <w:rPr>
                <w:bCs/>
              </w:rPr>
              <w:t xml:space="preserve">electronics: HBC.2021.1143 Soitec Belgium and HBC.2021.1146 </w:t>
            </w:r>
            <w:proofErr w:type="spellStart"/>
            <w:r w:rsidRPr="00FB36E5">
              <w:rPr>
                <w:bCs/>
              </w:rPr>
              <w:t>BelGaN</w:t>
            </w:r>
            <w:proofErr w:type="spellEnd"/>
            <w:r w:rsidRPr="00FB36E5">
              <w:rPr>
                <w:bCs/>
              </w:rPr>
              <w:t xml:space="preserve">. At the request of the European Commission, these projects were not supported under an IPCEI </w:t>
            </w:r>
            <w:r w:rsidR="00A00A06">
              <w:rPr>
                <w:bCs/>
              </w:rPr>
              <w:t xml:space="preserve">state aid </w:t>
            </w:r>
            <w:r w:rsidRPr="00FB36E5">
              <w:rPr>
                <w:bCs/>
              </w:rPr>
              <w:t xml:space="preserve">notification, but under the </w:t>
            </w:r>
            <w:r w:rsidR="00A00A06">
              <w:rPr>
                <w:bCs/>
              </w:rPr>
              <w:t xml:space="preserve">General </w:t>
            </w:r>
            <w:r w:rsidRPr="00FB36E5">
              <w:rPr>
                <w:bCs/>
              </w:rPr>
              <w:t xml:space="preserve">Block Exemption Regulation. </w:t>
            </w:r>
          </w:p>
          <w:p w14:paraId="3CB8F7CA" w14:textId="7638828B" w:rsidR="00FB36E5" w:rsidRPr="00FB36E5" w:rsidRDefault="00FB36E5" w:rsidP="00FB36E5">
            <w:pPr>
              <w:rPr>
                <w:bCs/>
              </w:rPr>
            </w:pPr>
            <w:r w:rsidRPr="00FB36E5">
              <w:rPr>
                <w:bCs/>
              </w:rPr>
              <w:t xml:space="preserve">The manner in which it was ensured for all the selected projects that the projects comply with the ‘Do no significant harm’ Technical Guidance (2021/C58/01) is described below </w:t>
            </w:r>
            <w:r w:rsidR="00E17D1C">
              <w:rPr>
                <w:bCs/>
              </w:rPr>
              <w:t xml:space="preserve">in </w:t>
            </w:r>
            <w:r w:rsidRPr="00FB36E5">
              <w:rPr>
                <w:bCs/>
              </w:rPr>
              <w:t xml:space="preserve">points 3 and 5. </w:t>
            </w:r>
          </w:p>
          <w:p w14:paraId="22FD883F" w14:textId="12DBDA7E" w:rsidR="009472DA" w:rsidRPr="00FB36E5" w:rsidRDefault="009472DA" w:rsidP="00685CD4">
            <w:pPr>
              <w:jc w:val="both"/>
              <w:rPr>
                <w:b/>
              </w:rPr>
            </w:pPr>
          </w:p>
          <w:p w14:paraId="6F9F4288" w14:textId="77777777" w:rsidR="004F70B8" w:rsidRPr="00FB36E5" w:rsidRDefault="004F70B8" w:rsidP="00685CD4">
            <w:pPr>
              <w:jc w:val="both"/>
              <w:rPr>
                <w:b/>
              </w:rPr>
            </w:pPr>
          </w:p>
          <w:p w14:paraId="645F40AA" w14:textId="4BE4AECD" w:rsidR="00685CD4" w:rsidRDefault="003D28FB" w:rsidP="00685CD4">
            <w:pPr>
              <w:jc w:val="both"/>
              <w:rPr>
                <w:b/>
                <w:lang w:val="en-US"/>
              </w:rPr>
            </w:pPr>
            <w:r w:rsidRPr="003D28FB">
              <w:rPr>
                <w:b/>
                <w:lang w:val="en-US"/>
              </w:rPr>
              <w:t xml:space="preserve">1. Spreadsheet listing the 200 selected projects including for each one: the unique identifier, the name of the project (where applicable), the beneficiary, the amount committed to each beneficiary (also evidencing that EUR 220 500 000 has been committed), a brief description of the project, including the name of the </w:t>
            </w:r>
            <w:proofErr w:type="spellStart"/>
            <w:r w:rsidRPr="003D28FB">
              <w:rPr>
                <w:b/>
                <w:lang w:val="en-US"/>
              </w:rPr>
              <w:t>programme</w:t>
            </w:r>
            <w:proofErr w:type="spellEnd"/>
            <w:r w:rsidRPr="003D28FB">
              <w:rPr>
                <w:b/>
                <w:lang w:val="en-US"/>
              </w:rPr>
              <w:t xml:space="preserve"> under which it was selected, reference of the notified contract award and the indication of the reference of the call in which the project was selected or indication of whether the project was selected based on an application under the general grant scheme. For each awarded project with activities under the EU ETS, the location, the Installation ID/Aircraft Operator ID in the European Union Transaction Log (EUTL) and justification that the projected level of GHG emissions per unit of product will be significantly lower than the relevant benchmarks.</w:t>
            </w:r>
          </w:p>
          <w:p w14:paraId="353F5499" w14:textId="77777777" w:rsidR="00D24E18" w:rsidRDefault="00D24E18" w:rsidP="00685CD4">
            <w:pPr>
              <w:jc w:val="both"/>
              <w:rPr>
                <w:b/>
                <w:lang w:val="en-US"/>
              </w:rPr>
            </w:pPr>
          </w:p>
          <w:p w14:paraId="51506AD4" w14:textId="0FEB34DA" w:rsidR="003D28FB" w:rsidRDefault="00D356AE" w:rsidP="00685CD4">
            <w:pPr>
              <w:jc w:val="both"/>
            </w:pPr>
            <w:r>
              <w:rPr>
                <w:bCs/>
                <w:lang w:val="en-US"/>
              </w:rPr>
              <w:t>Th</w:t>
            </w:r>
            <w:r w:rsidR="003D28FB">
              <w:rPr>
                <w:bCs/>
                <w:lang w:val="en-US"/>
              </w:rPr>
              <w:t>e</w:t>
            </w:r>
            <w:r>
              <w:rPr>
                <w:bCs/>
                <w:lang w:val="en-US"/>
              </w:rPr>
              <w:t xml:space="preserve"> spreadsheet </w:t>
            </w:r>
            <w:r w:rsidR="003D28FB">
              <w:rPr>
                <w:bCs/>
                <w:lang w:val="en-US"/>
              </w:rPr>
              <w:t>of selected projects in measure 5.11 is</w:t>
            </w:r>
            <w:r>
              <w:rPr>
                <w:bCs/>
                <w:lang w:val="en-US"/>
              </w:rPr>
              <w:t xml:space="preserve"> listed under </w:t>
            </w:r>
            <w:r w:rsidR="003D28FB" w:rsidRPr="0037537C">
              <w:rPr>
                <w:u w:val="single"/>
                <w:lang w:val="en-US"/>
              </w:rPr>
              <w:t>Annex 1. Spreadsheet of selected projects</w:t>
            </w:r>
            <w:r w:rsidR="003D28FB" w:rsidRPr="00C14698">
              <w:rPr>
                <w:lang w:val="en-US"/>
              </w:rPr>
              <w:t xml:space="preserve">: </w:t>
            </w:r>
            <w:r w:rsidR="003D28FB">
              <w:rPr>
                <w:lang w:val="en-US"/>
              </w:rPr>
              <w:t>L</w:t>
            </w:r>
            <w:r w:rsidR="003D28FB" w:rsidRPr="00EF2704">
              <w:rPr>
                <w:lang w:val="en-US"/>
              </w:rPr>
              <w:t>ist of projects supported under measure 5.11</w:t>
            </w:r>
            <w:r w:rsidR="005D4442" w:rsidRPr="003D28FB">
              <w:t>.</w:t>
            </w:r>
          </w:p>
          <w:p w14:paraId="270D3903" w14:textId="77777777" w:rsidR="003D28FB" w:rsidRDefault="003D28FB" w:rsidP="00685CD4">
            <w:pPr>
              <w:jc w:val="both"/>
            </w:pPr>
          </w:p>
          <w:p w14:paraId="185E784A" w14:textId="7528441F" w:rsidR="00D3346D" w:rsidRPr="00D3346D" w:rsidRDefault="00D3346D" w:rsidP="002D1BAC">
            <w:r w:rsidRPr="00AF3747">
              <w:t>40</w:t>
            </w:r>
            <w:r w:rsidR="00AF3747" w:rsidRPr="00AF3747">
              <w:t>1</w:t>
            </w:r>
            <w:r w:rsidRPr="00AF3747">
              <w:t xml:space="preserve"> projects were selected in this measure for a total amount of </w:t>
            </w:r>
            <w:r w:rsidR="00AF3747" w:rsidRPr="00AF3747">
              <w:t xml:space="preserve"> </w:t>
            </w:r>
            <w:r w:rsidR="00AF3747" w:rsidRPr="00AF3747">
              <w:rPr>
                <w:lang w:val="es-ES"/>
              </w:rPr>
              <w:t>244 860 397</w:t>
            </w:r>
            <w:r w:rsidR="00AF3747" w:rsidRPr="00AF3747">
              <w:rPr>
                <w:b/>
                <w:bCs/>
                <w:lang w:val="es-ES"/>
              </w:rPr>
              <w:t xml:space="preserve"> </w:t>
            </w:r>
            <w:r w:rsidRPr="00AF3747">
              <w:t>euros. The majority of the projects were selected via regular schemes (3</w:t>
            </w:r>
            <w:r w:rsidR="00AF3747">
              <w:t>63</w:t>
            </w:r>
            <w:r w:rsidRPr="00AF3747">
              <w:t>) managed by VLAIO. For these projects the frameworks of the following schemes were used:</w:t>
            </w:r>
          </w:p>
          <w:p w14:paraId="7B3972FD" w14:textId="77777777" w:rsidR="00D3346D" w:rsidRPr="00D3346D" w:rsidRDefault="00D3346D" w:rsidP="002D1BAC"/>
          <w:p w14:paraId="2976E736" w14:textId="627BF26D" w:rsidR="00D3346D" w:rsidRPr="00027646" w:rsidRDefault="00CB19F6" w:rsidP="002D1BAC">
            <w:pPr>
              <w:pStyle w:val="Lijstalinea"/>
              <w:numPr>
                <w:ilvl w:val="0"/>
                <w:numId w:val="18"/>
              </w:numPr>
              <w:rPr>
                <w:lang w:val="nl-BE"/>
              </w:rPr>
            </w:pPr>
            <w:hyperlink r:id="rId11">
              <w:r w:rsidR="1371C02C" w:rsidRPr="4B26F029">
                <w:rPr>
                  <w:rStyle w:val="Hyperlink"/>
                  <w:lang w:val="nl-BE"/>
                </w:rPr>
                <w:t>O</w:t>
              </w:r>
              <w:r w:rsidR="00D3346D" w:rsidRPr="4B26F029">
                <w:rPr>
                  <w:rStyle w:val="Hyperlink"/>
                  <w:lang w:val="nl-BE"/>
                </w:rPr>
                <w:t>nderzoeksproject (OND)</w:t>
              </w:r>
            </w:hyperlink>
          </w:p>
          <w:p w14:paraId="5190D8B6" w14:textId="1177342C" w:rsidR="00D3346D" w:rsidRPr="00027646" w:rsidRDefault="00CB19F6" w:rsidP="002D1BAC">
            <w:pPr>
              <w:pStyle w:val="Lijstalinea"/>
              <w:numPr>
                <w:ilvl w:val="0"/>
                <w:numId w:val="18"/>
              </w:numPr>
              <w:rPr>
                <w:lang w:val="nl-BE"/>
              </w:rPr>
            </w:pPr>
            <w:hyperlink r:id="rId12">
              <w:r w:rsidR="53E27610" w:rsidRPr="7FBF2D08">
                <w:rPr>
                  <w:rStyle w:val="Hyperlink"/>
                  <w:lang w:val="nl-BE"/>
                </w:rPr>
                <w:t>O</w:t>
              </w:r>
              <w:r w:rsidR="00D3346D" w:rsidRPr="7FBF2D08">
                <w:rPr>
                  <w:rStyle w:val="Hyperlink"/>
                  <w:lang w:val="nl-BE"/>
                </w:rPr>
                <w:t>ntwikkelingsproject (ONTW)</w:t>
              </w:r>
            </w:hyperlink>
          </w:p>
          <w:p w14:paraId="3CD69825" w14:textId="77777777" w:rsidR="00D3346D" w:rsidRPr="00027646" w:rsidRDefault="00CB19F6" w:rsidP="002D1BAC">
            <w:pPr>
              <w:pStyle w:val="Lijstalinea"/>
              <w:numPr>
                <w:ilvl w:val="0"/>
                <w:numId w:val="18"/>
              </w:numPr>
              <w:rPr>
                <w:lang w:val="nl-BE"/>
              </w:rPr>
            </w:pPr>
            <w:hyperlink r:id="rId13">
              <w:r w:rsidR="00D3346D" w:rsidRPr="1D0351A3">
                <w:rPr>
                  <w:rStyle w:val="Hyperlink"/>
                  <w:lang w:val="nl-BE"/>
                </w:rPr>
                <w:t>O&amp;O Haalbaarheidsstudie (HS)</w:t>
              </w:r>
            </w:hyperlink>
          </w:p>
          <w:p w14:paraId="0F979351" w14:textId="2B5EDF21" w:rsidR="00D3346D" w:rsidRPr="00027646" w:rsidRDefault="00CB19F6" w:rsidP="002D1BAC">
            <w:pPr>
              <w:pStyle w:val="Lijstalinea"/>
              <w:numPr>
                <w:ilvl w:val="0"/>
                <w:numId w:val="18"/>
              </w:numPr>
              <w:rPr>
                <w:lang w:val="nl-BE"/>
              </w:rPr>
            </w:pPr>
            <w:hyperlink r:id="rId14">
              <w:r w:rsidR="00D3346D" w:rsidRPr="62CAB80C">
                <w:rPr>
                  <w:rStyle w:val="Hyperlink"/>
                  <w:lang w:val="nl-BE"/>
                </w:rPr>
                <w:t>Landbouwtrajecten</w:t>
              </w:r>
              <w:r w:rsidR="25A93954" w:rsidRPr="55A01AD8">
                <w:rPr>
                  <w:rStyle w:val="Hyperlink"/>
                  <w:lang w:val="nl-BE"/>
                </w:rPr>
                <w:t xml:space="preserve"> (LATR)</w:t>
              </w:r>
            </w:hyperlink>
          </w:p>
          <w:p w14:paraId="44FB5607" w14:textId="77777777" w:rsidR="00D3346D" w:rsidRPr="00027646" w:rsidRDefault="00CB19F6" w:rsidP="002D1BAC">
            <w:pPr>
              <w:pStyle w:val="Lijstalinea"/>
              <w:numPr>
                <w:ilvl w:val="0"/>
                <w:numId w:val="18"/>
              </w:numPr>
              <w:rPr>
                <w:lang w:val="nl-BE"/>
              </w:rPr>
            </w:pPr>
            <w:hyperlink r:id="rId15">
              <w:r w:rsidR="00D3346D" w:rsidRPr="46C44487">
                <w:rPr>
                  <w:rStyle w:val="Hyperlink"/>
                  <w:lang w:val="nl-BE"/>
                </w:rPr>
                <w:t>TETRA-project (TETRA)</w:t>
              </w:r>
            </w:hyperlink>
          </w:p>
          <w:p w14:paraId="79202EF2" w14:textId="77777777" w:rsidR="00D3346D" w:rsidRPr="00027646" w:rsidRDefault="00CB19F6" w:rsidP="002D1BAC">
            <w:pPr>
              <w:pStyle w:val="Lijstalinea"/>
              <w:numPr>
                <w:ilvl w:val="0"/>
                <w:numId w:val="18"/>
              </w:numPr>
              <w:rPr>
                <w:lang w:val="nl-BE"/>
              </w:rPr>
            </w:pPr>
            <w:hyperlink r:id="rId16">
              <w:r w:rsidR="00D3346D" w:rsidRPr="637A1B88">
                <w:rPr>
                  <w:rStyle w:val="Hyperlink"/>
                  <w:lang w:val="nl-BE"/>
                </w:rPr>
                <w:t>CLUS-CSBO</w:t>
              </w:r>
            </w:hyperlink>
          </w:p>
          <w:p w14:paraId="62B5E309" w14:textId="2C619332" w:rsidR="00D3346D" w:rsidRPr="00027646" w:rsidRDefault="00CB19F6" w:rsidP="002D1BAC">
            <w:pPr>
              <w:pStyle w:val="Lijstalinea"/>
              <w:numPr>
                <w:ilvl w:val="0"/>
                <w:numId w:val="18"/>
              </w:numPr>
              <w:rPr>
                <w:lang w:val="nl-BE"/>
              </w:rPr>
            </w:pPr>
            <w:hyperlink r:id="rId17">
              <w:r w:rsidR="00D3346D" w:rsidRPr="4C9397F9">
                <w:rPr>
                  <w:rStyle w:val="Hyperlink"/>
                  <w:lang w:val="nl-BE"/>
                </w:rPr>
                <w:t>CLUS-Landbouwtrajecten</w:t>
              </w:r>
              <w:r w:rsidR="317C7C24" w:rsidRPr="7B97CFFA">
                <w:rPr>
                  <w:rStyle w:val="Hyperlink"/>
                  <w:lang w:val="nl-BE"/>
                </w:rPr>
                <w:t xml:space="preserve"> (CLUS-LATR)</w:t>
              </w:r>
            </w:hyperlink>
          </w:p>
          <w:p w14:paraId="76D3CA79" w14:textId="77777777" w:rsidR="00D3346D" w:rsidRPr="00027646" w:rsidRDefault="004C7C36" w:rsidP="002D1BAC">
            <w:pPr>
              <w:pStyle w:val="Lijstalinea"/>
              <w:numPr>
                <w:ilvl w:val="0"/>
                <w:numId w:val="18"/>
              </w:numPr>
              <w:rPr>
                <w:lang w:val="nl-BE"/>
              </w:rPr>
            </w:pPr>
            <w:hyperlink r:id="rId18">
              <w:r w:rsidR="00D3346D" w:rsidRPr="4C9397F9">
                <w:rPr>
                  <w:rStyle w:val="Hyperlink"/>
                  <w:lang w:val="nl-BE"/>
                </w:rPr>
                <w:t>Coöperatief onderzoek clusterproject (CLUS-COOP-OND)</w:t>
              </w:r>
            </w:hyperlink>
          </w:p>
          <w:p w14:paraId="653DF9B7" w14:textId="360B8DFA" w:rsidR="00D3346D" w:rsidRDefault="004C7C36" w:rsidP="002D1BAC">
            <w:pPr>
              <w:pStyle w:val="Lijstalinea"/>
              <w:numPr>
                <w:ilvl w:val="0"/>
                <w:numId w:val="18"/>
              </w:numPr>
              <w:rPr>
                <w:lang w:val="nl-BE"/>
              </w:rPr>
            </w:pPr>
            <w:hyperlink r:id="rId19">
              <w:r w:rsidR="00D3346D" w:rsidRPr="1932B33B">
                <w:rPr>
                  <w:rStyle w:val="Hyperlink"/>
                  <w:lang w:val="nl-BE"/>
                </w:rPr>
                <w:t>Coöperatief ontwikkeling clusterproject (CLUS-COOP-ONTW)</w:t>
              </w:r>
            </w:hyperlink>
          </w:p>
          <w:p w14:paraId="15A1C391" w14:textId="40830CBB" w:rsidR="00D3346D" w:rsidRDefault="004C7C36" w:rsidP="002D1BAC">
            <w:pPr>
              <w:pStyle w:val="Lijstalinea"/>
              <w:numPr>
                <w:ilvl w:val="0"/>
                <w:numId w:val="18"/>
              </w:numPr>
              <w:spacing w:after="160" w:line="259" w:lineRule="auto"/>
              <w:rPr>
                <w:lang w:val="nl-BE"/>
              </w:rPr>
            </w:pPr>
            <w:hyperlink r:id="rId20">
              <w:r w:rsidR="30CEA88C" w:rsidRPr="058338F6">
                <w:rPr>
                  <w:rStyle w:val="Hyperlink"/>
                  <w:lang w:val="nl-BE"/>
                </w:rPr>
                <w:t>I</w:t>
              </w:r>
              <w:r w:rsidR="00027646" w:rsidRPr="058338F6">
                <w:rPr>
                  <w:rStyle w:val="Hyperlink"/>
                  <w:lang w:val="nl-BE"/>
                </w:rPr>
                <w:t>nterdisciplinair coöperatief onderzoek clusterproject (CLUS-ICON-OND)</w:t>
              </w:r>
            </w:hyperlink>
          </w:p>
          <w:p w14:paraId="2518CBB5" w14:textId="77777777" w:rsidR="00EE2DF7" w:rsidRPr="00EE2DF7" w:rsidRDefault="00EE2DF7" w:rsidP="00EE2DF7">
            <w:pPr>
              <w:pStyle w:val="Lijstalinea"/>
              <w:rPr>
                <w:lang w:val="nl-BE"/>
              </w:rPr>
            </w:pPr>
          </w:p>
          <w:p w14:paraId="778BAA3A" w14:textId="1BD4B5C5" w:rsidR="00D3346D" w:rsidRPr="00D3346D" w:rsidRDefault="00D3346D" w:rsidP="002D1BAC">
            <w:r w:rsidRPr="00D3346D">
              <w:t xml:space="preserve">In addition, 3 specific calls for projects financed exclusively with RRF funds were </w:t>
            </w:r>
            <w:r w:rsidR="00027646">
              <w:t>launched</w:t>
            </w:r>
            <w:r w:rsidRPr="00D3346D">
              <w:t>:</w:t>
            </w:r>
          </w:p>
          <w:p w14:paraId="1377BE90" w14:textId="29EE6F81" w:rsidR="0C56296C" w:rsidRDefault="0C56296C" w:rsidP="0C56296C"/>
          <w:p w14:paraId="36A4BAB4" w14:textId="77777777" w:rsidR="00D3346D" w:rsidRPr="00027646" w:rsidRDefault="00CB19F6" w:rsidP="002D1BAC">
            <w:pPr>
              <w:pStyle w:val="Lijstalinea"/>
              <w:numPr>
                <w:ilvl w:val="0"/>
                <w:numId w:val="19"/>
              </w:numPr>
              <w:rPr>
                <w:lang w:val="nl-BE"/>
              </w:rPr>
            </w:pPr>
            <w:hyperlink r:id="rId21">
              <w:r w:rsidR="00D3346D" w:rsidRPr="7F7DCC86">
                <w:rPr>
                  <w:rStyle w:val="Hyperlink"/>
                  <w:lang w:val="nl-BE"/>
                </w:rPr>
                <w:t xml:space="preserve">Oproep Piloottrajecten </w:t>
              </w:r>
              <w:proofErr w:type="spellStart"/>
              <w:r w:rsidR="00D3346D" w:rsidRPr="7F7DCC86">
                <w:rPr>
                  <w:rStyle w:val="Hyperlink"/>
                  <w:lang w:val="nl-BE"/>
                </w:rPr>
                <w:t>biogebaseerde</w:t>
              </w:r>
              <w:proofErr w:type="spellEnd"/>
              <w:r w:rsidR="00D3346D" w:rsidRPr="7F7DCC86">
                <w:rPr>
                  <w:rStyle w:val="Hyperlink"/>
                  <w:lang w:val="nl-BE"/>
                </w:rPr>
                <w:t xml:space="preserve"> toepassingen</w:t>
              </w:r>
            </w:hyperlink>
          </w:p>
          <w:p w14:paraId="689B57BE" w14:textId="77777777" w:rsidR="00D3346D" w:rsidRPr="00027646" w:rsidRDefault="004C7C36" w:rsidP="002D1BAC">
            <w:pPr>
              <w:pStyle w:val="Lijstalinea"/>
              <w:numPr>
                <w:ilvl w:val="0"/>
                <w:numId w:val="19"/>
              </w:numPr>
              <w:rPr>
                <w:lang w:val="nl-BE"/>
              </w:rPr>
            </w:pPr>
            <w:hyperlink r:id="rId22">
              <w:r w:rsidR="00D3346D" w:rsidRPr="205E3CF4">
                <w:rPr>
                  <w:rStyle w:val="Hyperlink"/>
                  <w:lang w:val="nl-BE"/>
                </w:rPr>
                <w:t>Oproep Onderzoeksinfrastructuur hogescholen (OI.HS) 2021</w:t>
              </w:r>
            </w:hyperlink>
          </w:p>
          <w:p w14:paraId="579CA163" w14:textId="2A81F163" w:rsidR="00D3346D" w:rsidRPr="00027646" w:rsidRDefault="004C7C36" w:rsidP="002D1BAC">
            <w:pPr>
              <w:pStyle w:val="Lijstalinea"/>
              <w:numPr>
                <w:ilvl w:val="0"/>
                <w:numId w:val="19"/>
              </w:numPr>
              <w:rPr>
                <w:lang w:val="nl-BE"/>
              </w:rPr>
            </w:pPr>
            <w:hyperlink r:id="rId23">
              <w:r w:rsidR="00D3346D" w:rsidRPr="2AF979A5">
                <w:rPr>
                  <w:rStyle w:val="Hyperlink"/>
                  <w:lang w:val="nl-BE"/>
                </w:rPr>
                <w:t>Oproep Onderzoeksinfrastructuur hogescholen (OI.HS) 2022</w:t>
              </w:r>
            </w:hyperlink>
          </w:p>
          <w:p w14:paraId="2EE83E7D" w14:textId="77777777" w:rsidR="00D3346D" w:rsidRPr="00D3346D" w:rsidRDefault="00D3346D" w:rsidP="002D1BAC">
            <w:pPr>
              <w:rPr>
                <w:lang w:val="nl-BE"/>
              </w:rPr>
            </w:pPr>
          </w:p>
          <w:p w14:paraId="1CBEC87A" w14:textId="77777777" w:rsidR="00B46768" w:rsidRDefault="00D3346D" w:rsidP="002D1BAC">
            <w:r w:rsidRPr="00D3346D">
              <w:t xml:space="preserve">1 project </w:t>
            </w:r>
            <w:r w:rsidR="00027646">
              <w:t>(VV023/11)</w:t>
            </w:r>
            <w:r>
              <w:t xml:space="preserve"> was selected for c</w:t>
            </w:r>
            <w:r w:rsidRPr="00D3346D">
              <w:t xml:space="preserve">o-financing in the context of a call </w:t>
            </w:r>
            <w:r>
              <w:t xml:space="preserve">for projects </w:t>
            </w:r>
            <w:r w:rsidRPr="00D3346D">
              <w:t>organized by Digital Europe</w:t>
            </w:r>
            <w:r w:rsidR="002B0AB3">
              <w:t>:</w:t>
            </w:r>
            <w:r w:rsidR="00F64361">
              <w:t xml:space="preserve"> DIGITAL-2021-CLOUD-AI-01 (p</w:t>
            </w:r>
            <w:r w:rsidR="00F64361" w:rsidRPr="00F64361">
              <w:t>roject 101083307 — PREVAIL</w:t>
            </w:r>
            <w:r w:rsidR="00F64361">
              <w:t>).</w:t>
            </w:r>
          </w:p>
          <w:p w14:paraId="35381738" w14:textId="77777777" w:rsidR="00B46768" w:rsidRDefault="00B46768" w:rsidP="002D1BAC"/>
          <w:p w14:paraId="50A4B8EE" w14:textId="63381AB0" w:rsidR="00B46768" w:rsidRDefault="00FD2325" w:rsidP="002D1BAC">
            <w:r>
              <w:t xml:space="preserve">The grant agreement </w:t>
            </w:r>
            <w:r w:rsidR="00C32DB5">
              <w:t xml:space="preserve">for project </w:t>
            </w:r>
            <w:r w:rsidR="00C32DB5" w:rsidRPr="00F64361">
              <w:t>101083307 — PREVAIL</w:t>
            </w:r>
            <w:r w:rsidR="00C32DB5">
              <w:t xml:space="preserve">  is attached in </w:t>
            </w:r>
            <w:r w:rsidR="00C32DB5">
              <w:rPr>
                <w:u w:val="single"/>
                <w:lang w:val="en-US"/>
              </w:rPr>
              <w:t>Annex 1b. Grant Agreement PREVAIL.pdf</w:t>
            </w:r>
            <w:r w:rsidR="001705D8">
              <w:rPr>
                <w:u w:val="single"/>
                <w:lang w:val="en-US"/>
              </w:rPr>
              <w:t>.</w:t>
            </w:r>
            <w:r w:rsidR="001705D8">
              <w:rPr>
                <w:lang w:val="en-US"/>
              </w:rPr>
              <w:t xml:space="preserve"> A short description on the financing of the project (DEP-RRF-IMEC) can be found in </w:t>
            </w:r>
            <w:r w:rsidR="001705D8" w:rsidRPr="00326473">
              <w:rPr>
                <w:u w:val="single"/>
                <w:lang w:val="en-US"/>
              </w:rPr>
              <w:t>Annex 1c. TEFHW4AI - PREVAIL costing (RRF-DEP).docx</w:t>
            </w:r>
            <w:r w:rsidR="00326473">
              <w:rPr>
                <w:u w:val="single"/>
                <w:lang w:val="en-US"/>
              </w:rPr>
              <w:t>.</w:t>
            </w:r>
          </w:p>
          <w:p w14:paraId="46803CC4" w14:textId="77777777" w:rsidR="005A5951" w:rsidRDefault="005A5951" w:rsidP="002D1BAC"/>
          <w:p w14:paraId="47FF9525" w14:textId="088AD1F1" w:rsidR="00F64361" w:rsidRDefault="00F64361" w:rsidP="002D1BAC">
            <w:r>
              <w:t xml:space="preserve"> </w:t>
            </w:r>
          </w:p>
          <w:p w14:paraId="59EF4E36" w14:textId="77777777" w:rsidR="003D28FB" w:rsidRPr="00027646" w:rsidRDefault="003D28FB" w:rsidP="002D1BAC"/>
          <w:p w14:paraId="5A2AEA5E" w14:textId="7AAB0257" w:rsidR="00D24E18" w:rsidRDefault="009173BD" w:rsidP="002D1BAC">
            <w:pPr>
              <w:rPr>
                <w:lang w:val="en-US"/>
              </w:rPr>
            </w:pPr>
            <w:r>
              <w:rPr>
                <w:lang w:val="en-US"/>
              </w:rPr>
              <w:t>No projects were awarded with activities under the EU ETS.</w:t>
            </w:r>
          </w:p>
          <w:p w14:paraId="5FF6D3AA" w14:textId="77777777" w:rsidR="009173BD" w:rsidRDefault="009173BD" w:rsidP="002D1BAC">
            <w:pPr>
              <w:rPr>
                <w:bCs/>
                <w:lang w:val="en-US"/>
              </w:rPr>
            </w:pPr>
          </w:p>
          <w:p w14:paraId="278FF5C8" w14:textId="18E8494D" w:rsidR="009173BD" w:rsidRDefault="00313068" w:rsidP="002D1BAC">
            <w:pPr>
              <w:rPr>
                <w:b/>
                <w:lang w:val="en-US"/>
              </w:rPr>
            </w:pPr>
            <w:r w:rsidRPr="00313068">
              <w:rPr>
                <w:b/>
                <w:lang w:val="en-US"/>
              </w:rPr>
              <w:t>2. Copy of published terms of reference for the competitive calls for proposals (link to the call, specification of the period when call was open for applicants and the technical specifications of the call).</w:t>
            </w:r>
          </w:p>
          <w:p w14:paraId="3207AC55" w14:textId="77777777" w:rsidR="00027646" w:rsidRDefault="00027646" w:rsidP="002D1BAC">
            <w:pPr>
              <w:rPr>
                <w:bCs/>
                <w:lang w:val="en-US"/>
              </w:rPr>
            </w:pPr>
          </w:p>
          <w:p w14:paraId="029DB258" w14:textId="3AEB0C88" w:rsidR="00027646" w:rsidRDefault="009A14EA" w:rsidP="002D1BAC">
            <w:pPr>
              <w:rPr>
                <w:i/>
                <w:iCs/>
                <w:lang w:val="nl-BE"/>
              </w:rPr>
            </w:pPr>
            <w:r>
              <w:rPr>
                <w:i/>
                <w:iCs/>
                <w:lang w:val="nl-BE"/>
              </w:rPr>
              <w:t>a)</w:t>
            </w:r>
            <w:r w:rsidR="002B0AB3">
              <w:rPr>
                <w:i/>
                <w:iCs/>
                <w:lang w:val="nl-BE"/>
              </w:rPr>
              <w:t xml:space="preserve"> </w:t>
            </w:r>
            <w:r w:rsidR="00027646" w:rsidRPr="00027646">
              <w:rPr>
                <w:i/>
                <w:iCs/>
                <w:lang w:val="nl-BE"/>
              </w:rPr>
              <w:t xml:space="preserve">Oproep Piloottrajecten </w:t>
            </w:r>
            <w:proofErr w:type="spellStart"/>
            <w:r w:rsidR="00027646" w:rsidRPr="00027646">
              <w:rPr>
                <w:i/>
                <w:iCs/>
                <w:lang w:val="nl-BE"/>
              </w:rPr>
              <w:t>biogebaseerde</w:t>
            </w:r>
            <w:proofErr w:type="spellEnd"/>
            <w:r w:rsidR="00027646" w:rsidRPr="00027646">
              <w:rPr>
                <w:i/>
                <w:iCs/>
                <w:lang w:val="nl-BE"/>
              </w:rPr>
              <w:t xml:space="preserve"> toepassingen</w:t>
            </w:r>
          </w:p>
          <w:p w14:paraId="442D62C5" w14:textId="749C89F1" w:rsidR="00027646" w:rsidRDefault="007F4AB1" w:rsidP="002D1BAC">
            <w:pPr>
              <w:pStyle w:val="Lijstalinea"/>
              <w:numPr>
                <w:ilvl w:val="0"/>
                <w:numId w:val="20"/>
              </w:numPr>
              <w:rPr>
                <w:bCs/>
                <w:lang w:val="nl-BE"/>
              </w:rPr>
            </w:pPr>
            <w:r w:rsidRPr="007F4AB1">
              <w:rPr>
                <w:bCs/>
                <w:lang w:val="nl-BE"/>
              </w:rPr>
              <w:t>Link:</w:t>
            </w:r>
            <w:hyperlink r:id="rId24" w:history="1">
              <w:r w:rsidRPr="006431E1">
                <w:rPr>
                  <w:rStyle w:val="Hyperlink"/>
                  <w:bCs/>
                  <w:lang w:val="nl-BE"/>
                </w:rPr>
                <w:t>https://www.vlaio.be/nl/subsidies-financiering/piloottrajecten-bio-gebaseerde-toepassingen</w:t>
              </w:r>
            </w:hyperlink>
          </w:p>
          <w:p w14:paraId="502E9CEF" w14:textId="3EF16E9C" w:rsidR="007F4AB1" w:rsidRDefault="00E17D1C" w:rsidP="002D1BAC">
            <w:pPr>
              <w:pStyle w:val="Lijstalinea"/>
              <w:numPr>
                <w:ilvl w:val="0"/>
                <w:numId w:val="20"/>
              </w:numPr>
              <w:rPr>
                <w:bCs/>
              </w:rPr>
            </w:pPr>
            <w:r>
              <w:rPr>
                <w:bCs/>
              </w:rPr>
              <w:t>P</w:t>
            </w:r>
            <w:r w:rsidR="007F4AB1" w:rsidRPr="007F4AB1">
              <w:rPr>
                <w:bCs/>
              </w:rPr>
              <w:t>eriod when call was open</w:t>
            </w:r>
            <w:r w:rsidR="007F4AB1">
              <w:rPr>
                <w:bCs/>
              </w:rPr>
              <w:t>: September 2021 – December 2022</w:t>
            </w:r>
          </w:p>
          <w:p w14:paraId="01011D13" w14:textId="07DDA39C" w:rsidR="007F4AB1" w:rsidRDefault="007F4AB1" w:rsidP="002D1BAC">
            <w:pPr>
              <w:pStyle w:val="Lijstalinea"/>
              <w:numPr>
                <w:ilvl w:val="0"/>
                <w:numId w:val="20"/>
              </w:numPr>
              <w:rPr>
                <w:bCs/>
              </w:rPr>
            </w:pPr>
            <w:r>
              <w:rPr>
                <w:bCs/>
              </w:rPr>
              <w:t xml:space="preserve">Technical specifications of the call: </w:t>
            </w:r>
          </w:p>
          <w:p w14:paraId="4F1AAE46" w14:textId="4C5630FC" w:rsidR="007F4AB1" w:rsidRDefault="00CB19F6" w:rsidP="002D1BAC">
            <w:pPr>
              <w:pStyle w:val="Lijstalinea"/>
              <w:numPr>
                <w:ilvl w:val="1"/>
                <w:numId w:val="20"/>
              </w:numPr>
              <w:rPr>
                <w:bCs/>
              </w:rPr>
            </w:pPr>
            <w:hyperlink r:id="rId25" w:history="1">
              <w:r w:rsidR="007F4AB1" w:rsidRPr="006431E1">
                <w:rPr>
                  <w:rStyle w:val="Hyperlink"/>
                  <w:bCs/>
                </w:rPr>
                <w:t>https://www.vlaio.be/nl/media/1783</w:t>
              </w:r>
            </w:hyperlink>
          </w:p>
          <w:p w14:paraId="21F1AD1C" w14:textId="33DED4C6" w:rsidR="007F4AB1" w:rsidRDefault="00CB19F6" w:rsidP="002D1BAC">
            <w:pPr>
              <w:pStyle w:val="Lijstalinea"/>
              <w:numPr>
                <w:ilvl w:val="1"/>
                <w:numId w:val="20"/>
              </w:numPr>
              <w:rPr>
                <w:bCs/>
              </w:rPr>
            </w:pPr>
            <w:hyperlink r:id="rId26" w:history="1">
              <w:r w:rsidR="007F4AB1" w:rsidRPr="006431E1">
                <w:rPr>
                  <w:rStyle w:val="Hyperlink"/>
                  <w:bCs/>
                </w:rPr>
                <w:t>https://www.vlaio.be/nl/media/1784</w:t>
              </w:r>
            </w:hyperlink>
          </w:p>
          <w:p w14:paraId="0539D123" w14:textId="77777777" w:rsidR="007F4AB1" w:rsidRDefault="007F4AB1" w:rsidP="002D1BAC">
            <w:pPr>
              <w:rPr>
                <w:bCs/>
              </w:rPr>
            </w:pPr>
          </w:p>
          <w:p w14:paraId="5890F318" w14:textId="0F89F790" w:rsidR="007F4AB1" w:rsidRPr="007F4AB1" w:rsidRDefault="0026774E" w:rsidP="002D1BAC">
            <w:pPr>
              <w:rPr>
                <w:i/>
                <w:iCs/>
                <w:lang w:val="nl-BE"/>
              </w:rPr>
            </w:pPr>
            <w:r>
              <w:rPr>
                <w:i/>
                <w:iCs/>
                <w:lang w:val="nl-BE"/>
              </w:rPr>
              <w:t>b)</w:t>
            </w:r>
            <w:r w:rsidR="002B0AB3">
              <w:rPr>
                <w:i/>
                <w:iCs/>
                <w:lang w:val="nl-BE"/>
              </w:rPr>
              <w:t xml:space="preserve"> </w:t>
            </w:r>
            <w:r w:rsidR="007F4AB1" w:rsidRPr="007F4AB1">
              <w:rPr>
                <w:i/>
                <w:iCs/>
                <w:lang w:val="nl-BE"/>
              </w:rPr>
              <w:t>Oproep Onderzoeksinfrastructuur hogescholen (OI.HS) 2021</w:t>
            </w:r>
          </w:p>
          <w:p w14:paraId="2735DDF6" w14:textId="54229C58" w:rsidR="007F4AB1" w:rsidRDefault="001F77A8" w:rsidP="002D1BAC">
            <w:pPr>
              <w:pStyle w:val="Lijstalinea"/>
              <w:numPr>
                <w:ilvl w:val="0"/>
                <w:numId w:val="21"/>
              </w:numPr>
              <w:rPr>
                <w:bCs/>
                <w:lang w:val="nl-BE"/>
              </w:rPr>
            </w:pPr>
            <w:r>
              <w:rPr>
                <w:bCs/>
                <w:lang w:val="nl-BE"/>
              </w:rPr>
              <w:t>Link:</w:t>
            </w:r>
            <w:hyperlink r:id="rId27" w:history="1">
              <w:r w:rsidRPr="006431E1">
                <w:rPr>
                  <w:rStyle w:val="Hyperlink"/>
                  <w:bCs/>
                  <w:lang w:val="nl-BE"/>
                </w:rPr>
                <w:t>https://www.vlaio.be/nl/vlaio-netwerk/steun-voor-onderzoeksinfrastructuur-bij-hogescholen/wat-na-de-indiening-van-de/vorige-oproepen-steun-voor</w:t>
              </w:r>
            </w:hyperlink>
          </w:p>
          <w:p w14:paraId="44F6FD0B" w14:textId="0C0EE117" w:rsidR="001F77A8" w:rsidRDefault="00E17D1C" w:rsidP="002D1BAC">
            <w:pPr>
              <w:pStyle w:val="Lijstalinea"/>
              <w:numPr>
                <w:ilvl w:val="0"/>
                <w:numId w:val="21"/>
              </w:numPr>
              <w:rPr>
                <w:bCs/>
              </w:rPr>
            </w:pPr>
            <w:r>
              <w:rPr>
                <w:bCs/>
              </w:rPr>
              <w:t>P</w:t>
            </w:r>
            <w:r w:rsidR="001F77A8" w:rsidRPr="007F4AB1">
              <w:rPr>
                <w:bCs/>
              </w:rPr>
              <w:t>eriod when call was open</w:t>
            </w:r>
            <w:r w:rsidR="001F77A8">
              <w:rPr>
                <w:bCs/>
              </w:rPr>
              <w:t xml:space="preserve">: </w:t>
            </w:r>
            <w:r w:rsidR="00726E92">
              <w:rPr>
                <w:rFonts w:ascii="Calibri" w:hAnsi="Calibri" w:cs="Calibri"/>
              </w:rPr>
              <w:t xml:space="preserve">28 </w:t>
            </w:r>
            <w:r>
              <w:rPr>
                <w:rFonts w:ascii="Calibri" w:hAnsi="Calibri" w:cs="Calibri"/>
              </w:rPr>
              <w:t>April</w:t>
            </w:r>
            <w:r w:rsidR="00726E92">
              <w:rPr>
                <w:rFonts w:ascii="Calibri" w:hAnsi="Calibri" w:cs="Calibri"/>
              </w:rPr>
              <w:t xml:space="preserve"> 2021 -</w:t>
            </w:r>
            <w:r w:rsidR="00143DD8">
              <w:rPr>
                <w:rFonts w:ascii="Calibri" w:hAnsi="Calibri" w:cs="Calibri"/>
              </w:rPr>
              <w:t xml:space="preserve">15 </w:t>
            </w:r>
            <w:r>
              <w:rPr>
                <w:rFonts w:ascii="Calibri" w:hAnsi="Calibri" w:cs="Calibri"/>
              </w:rPr>
              <w:t>September</w:t>
            </w:r>
            <w:r w:rsidR="00143DD8">
              <w:rPr>
                <w:rFonts w:ascii="Calibri" w:hAnsi="Calibri" w:cs="Calibri"/>
              </w:rPr>
              <w:t xml:space="preserve"> 2021</w:t>
            </w:r>
          </w:p>
          <w:p w14:paraId="06B7BEA3" w14:textId="77777777" w:rsidR="00FA6C74" w:rsidRDefault="001F77A8" w:rsidP="002D1BAC">
            <w:pPr>
              <w:pStyle w:val="Lijstalinea"/>
              <w:numPr>
                <w:ilvl w:val="0"/>
                <w:numId w:val="21"/>
              </w:numPr>
              <w:rPr>
                <w:bCs/>
              </w:rPr>
            </w:pPr>
            <w:r>
              <w:rPr>
                <w:bCs/>
              </w:rPr>
              <w:t xml:space="preserve">Technical specifications of the call: </w:t>
            </w:r>
          </w:p>
          <w:p w14:paraId="00D35610" w14:textId="7CD7EED4" w:rsidR="007F4AB1" w:rsidRPr="00FA6C74" w:rsidRDefault="00CB19F6" w:rsidP="00FA6C74">
            <w:pPr>
              <w:pStyle w:val="Lijstalinea"/>
              <w:numPr>
                <w:ilvl w:val="1"/>
                <w:numId w:val="21"/>
              </w:numPr>
              <w:rPr>
                <w:rStyle w:val="Hyperlink"/>
                <w:bCs/>
                <w:color w:val="auto"/>
                <w:u w:val="none"/>
              </w:rPr>
            </w:pPr>
            <w:hyperlink r:id="rId28">
              <w:r w:rsidR="1425E91D" w:rsidRPr="0CEE359B">
                <w:rPr>
                  <w:rStyle w:val="Hyperlink"/>
                </w:rPr>
                <w:t>https://www.vlaio.be/nl/media/2349</w:t>
              </w:r>
            </w:hyperlink>
          </w:p>
          <w:p w14:paraId="6F8F76CD" w14:textId="7F34A521" w:rsidR="00170E3D" w:rsidRDefault="00170E3D" w:rsidP="0CEE359B">
            <w:pPr>
              <w:pStyle w:val="Lijstalinea"/>
              <w:numPr>
                <w:ilvl w:val="1"/>
                <w:numId w:val="21"/>
              </w:numPr>
            </w:pPr>
            <w:r w:rsidRPr="0CEE359B">
              <w:rPr>
                <w:u w:val="single"/>
              </w:rPr>
              <w:t>Annex 2b. MB_OIHS_2021_Getekend</w:t>
            </w:r>
            <w:r w:rsidR="004B5D78">
              <w:rPr>
                <w:u w:val="single"/>
              </w:rPr>
              <w:t xml:space="preserve"> (28/04/2021)</w:t>
            </w:r>
          </w:p>
          <w:p w14:paraId="00224A68" w14:textId="77777777" w:rsidR="007F4AB1" w:rsidRPr="00184EAA" w:rsidRDefault="007F4AB1" w:rsidP="002D1BAC">
            <w:pPr>
              <w:pStyle w:val="Lijstalinea"/>
              <w:rPr>
                <w:lang w:val="nl-BE"/>
              </w:rPr>
            </w:pPr>
          </w:p>
          <w:p w14:paraId="6D52BA1E" w14:textId="2D885317" w:rsidR="007F4AB1" w:rsidRPr="007F4AB1" w:rsidRDefault="0026774E" w:rsidP="002D1BAC">
            <w:pPr>
              <w:rPr>
                <w:i/>
                <w:iCs/>
                <w:lang w:val="nl-BE"/>
              </w:rPr>
            </w:pPr>
            <w:r>
              <w:rPr>
                <w:i/>
                <w:iCs/>
                <w:lang w:val="nl-BE"/>
              </w:rPr>
              <w:t>c)</w:t>
            </w:r>
            <w:r w:rsidR="007F4AB1" w:rsidRPr="007F4AB1">
              <w:rPr>
                <w:i/>
                <w:iCs/>
                <w:lang w:val="nl-BE"/>
              </w:rPr>
              <w:t>Oproep Onderzoeksinfrastructuur hogescholen (OI.HS) 2022</w:t>
            </w:r>
          </w:p>
          <w:p w14:paraId="5CDBF18A" w14:textId="67AB6C55" w:rsidR="001F77A8" w:rsidRDefault="001F77A8" w:rsidP="002D1BAC">
            <w:pPr>
              <w:pStyle w:val="Lijstalinea"/>
              <w:numPr>
                <w:ilvl w:val="0"/>
                <w:numId w:val="21"/>
              </w:numPr>
              <w:spacing w:after="160" w:line="259" w:lineRule="auto"/>
              <w:rPr>
                <w:bCs/>
                <w:lang w:val="nl-BE"/>
              </w:rPr>
            </w:pPr>
            <w:r>
              <w:rPr>
                <w:bCs/>
                <w:lang w:val="nl-BE"/>
              </w:rPr>
              <w:t>Link:</w:t>
            </w:r>
            <w:hyperlink r:id="rId29" w:history="1">
              <w:r w:rsidRPr="006431E1">
                <w:rPr>
                  <w:rStyle w:val="Hyperlink"/>
                  <w:bCs/>
                  <w:lang w:val="nl-BE"/>
                </w:rPr>
                <w:t>https://www.vlaio.be/nl/vlaio-netwerk/steun-voor-onderzoeksinfrastructuur-bij-hogescholen/wat-na-de-indiening-van-de/vorige-oproepen-steun-voor</w:t>
              </w:r>
            </w:hyperlink>
          </w:p>
          <w:p w14:paraId="7CCE229B" w14:textId="752765BB" w:rsidR="001F77A8" w:rsidRDefault="00E17D1C" w:rsidP="002D1BAC">
            <w:pPr>
              <w:pStyle w:val="Lijstalinea"/>
              <w:numPr>
                <w:ilvl w:val="0"/>
                <w:numId w:val="21"/>
              </w:numPr>
              <w:spacing w:after="160" w:line="259" w:lineRule="auto"/>
              <w:rPr>
                <w:bCs/>
              </w:rPr>
            </w:pPr>
            <w:r>
              <w:rPr>
                <w:bCs/>
              </w:rPr>
              <w:t>P</w:t>
            </w:r>
            <w:r w:rsidR="001F77A8" w:rsidRPr="007F4AB1">
              <w:rPr>
                <w:bCs/>
              </w:rPr>
              <w:t>eriod when call was open</w:t>
            </w:r>
            <w:r w:rsidR="001F77A8">
              <w:rPr>
                <w:bCs/>
              </w:rPr>
              <w:t xml:space="preserve">: </w:t>
            </w:r>
            <w:r w:rsidR="00794047">
              <w:rPr>
                <w:bCs/>
              </w:rPr>
              <w:t xml:space="preserve">3 </w:t>
            </w:r>
            <w:r>
              <w:rPr>
                <w:bCs/>
              </w:rPr>
              <w:t>June</w:t>
            </w:r>
            <w:r w:rsidR="00794047">
              <w:rPr>
                <w:bCs/>
              </w:rPr>
              <w:t xml:space="preserve"> 2022 </w:t>
            </w:r>
            <w:r w:rsidR="00F22388">
              <w:rPr>
                <w:bCs/>
              </w:rPr>
              <w:t>–</w:t>
            </w:r>
            <w:r w:rsidR="00794047">
              <w:rPr>
                <w:bCs/>
              </w:rPr>
              <w:t xml:space="preserve"> </w:t>
            </w:r>
            <w:r w:rsidR="00F22388">
              <w:rPr>
                <w:bCs/>
              </w:rPr>
              <w:t xml:space="preserve">14 </w:t>
            </w:r>
            <w:r>
              <w:rPr>
                <w:bCs/>
              </w:rPr>
              <w:t>September</w:t>
            </w:r>
            <w:r w:rsidR="00F22388">
              <w:rPr>
                <w:bCs/>
              </w:rPr>
              <w:t xml:space="preserve"> 2022</w:t>
            </w:r>
          </w:p>
          <w:p w14:paraId="32A01B9F" w14:textId="77777777" w:rsidR="003B215E" w:rsidRDefault="001F77A8" w:rsidP="002D1BAC">
            <w:pPr>
              <w:pStyle w:val="Lijstalinea"/>
              <w:numPr>
                <w:ilvl w:val="0"/>
                <w:numId w:val="21"/>
              </w:numPr>
              <w:spacing w:after="160" w:line="259" w:lineRule="auto"/>
              <w:rPr>
                <w:bCs/>
              </w:rPr>
            </w:pPr>
            <w:r>
              <w:rPr>
                <w:bCs/>
              </w:rPr>
              <w:t xml:space="preserve">Technical specifications of the call: </w:t>
            </w:r>
          </w:p>
          <w:p w14:paraId="0B128E98" w14:textId="2D3038E5" w:rsidR="001F77A8" w:rsidRPr="001A6401" w:rsidRDefault="00CB19F6" w:rsidP="003B215E">
            <w:pPr>
              <w:pStyle w:val="Lijstalinea"/>
              <w:numPr>
                <w:ilvl w:val="1"/>
                <w:numId w:val="21"/>
              </w:numPr>
              <w:spacing w:after="160" w:line="259" w:lineRule="auto"/>
              <w:rPr>
                <w:rStyle w:val="Hyperlink"/>
                <w:bCs/>
                <w:color w:val="auto"/>
                <w:u w:val="none"/>
              </w:rPr>
            </w:pPr>
            <w:hyperlink r:id="rId30" w:history="1">
              <w:r w:rsidR="003B215E" w:rsidRPr="006431E1">
                <w:rPr>
                  <w:rStyle w:val="Hyperlink"/>
                  <w:bCs/>
                </w:rPr>
                <w:t>https://www.vlaio.be/nl/media/1832</w:t>
              </w:r>
            </w:hyperlink>
          </w:p>
          <w:p w14:paraId="3E8E8540" w14:textId="4A43F1BD" w:rsidR="001A6401" w:rsidRPr="001A6401" w:rsidRDefault="38F6E174" w:rsidP="0CEE359B">
            <w:pPr>
              <w:pStyle w:val="Lijstalinea"/>
              <w:numPr>
                <w:ilvl w:val="1"/>
                <w:numId w:val="21"/>
              </w:numPr>
              <w:rPr>
                <w:rStyle w:val="Hyperlink"/>
                <w:color w:val="auto"/>
                <w:lang w:val="nl-BE"/>
              </w:rPr>
            </w:pPr>
            <w:r w:rsidRPr="0CEE359B">
              <w:rPr>
                <w:u w:val="single"/>
                <w:lang w:val="nl-BE"/>
              </w:rPr>
              <w:lastRenderedPageBreak/>
              <w:t>Annex 2</w:t>
            </w:r>
            <w:r w:rsidR="42468766" w:rsidRPr="0CEE359B">
              <w:rPr>
                <w:u w:val="single"/>
                <w:lang w:val="nl-BE"/>
              </w:rPr>
              <w:t>a.</w:t>
            </w:r>
            <w:r w:rsidR="7EE8BF6B" w:rsidRPr="0CEE359B">
              <w:rPr>
                <w:u w:val="single"/>
                <w:lang w:val="nl-BE"/>
              </w:rPr>
              <w:t xml:space="preserve"> </w:t>
            </w:r>
            <w:r w:rsidRPr="0CEE359B">
              <w:rPr>
                <w:u w:val="single"/>
                <w:lang w:val="nl-BE"/>
              </w:rPr>
              <w:t>OIHS 2022 Ministerieel Besluit en handleiding</w:t>
            </w:r>
          </w:p>
          <w:p w14:paraId="49389D07" w14:textId="2ACF8359" w:rsidR="49B1F01F" w:rsidRDefault="49B1F01F" w:rsidP="0CEE359B">
            <w:pPr>
              <w:pStyle w:val="Lijstalinea"/>
              <w:numPr>
                <w:ilvl w:val="1"/>
                <w:numId w:val="21"/>
              </w:numPr>
            </w:pPr>
            <w:r w:rsidRPr="0CEE359B">
              <w:rPr>
                <w:u w:val="single"/>
              </w:rPr>
              <w:t>Annex 2c. MB_OIHS_2022</w:t>
            </w:r>
            <w:r w:rsidR="00051A9C">
              <w:rPr>
                <w:u w:val="single"/>
              </w:rPr>
              <w:t xml:space="preserve"> (03/06/2022)</w:t>
            </w:r>
          </w:p>
          <w:p w14:paraId="014E7E27" w14:textId="77777777" w:rsidR="001F77A8" w:rsidRPr="001A6401" w:rsidRDefault="001F77A8" w:rsidP="001A6401">
            <w:pPr>
              <w:rPr>
                <w:bCs/>
                <w:lang w:val="nl-BE"/>
              </w:rPr>
            </w:pPr>
          </w:p>
          <w:p w14:paraId="483D47D3" w14:textId="37F91D19" w:rsidR="007F4AB1" w:rsidRPr="001F77A8" w:rsidRDefault="0026774E" w:rsidP="002D1BAC">
            <w:pPr>
              <w:rPr>
                <w:bCs/>
                <w:i/>
                <w:iCs/>
              </w:rPr>
            </w:pPr>
            <w:r>
              <w:rPr>
                <w:i/>
                <w:iCs/>
              </w:rPr>
              <w:t>d)</w:t>
            </w:r>
            <w:r w:rsidR="001A6401">
              <w:rPr>
                <w:i/>
                <w:iCs/>
              </w:rPr>
              <w:t xml:space="preserve"> </w:t>
            </w:r>
            <w:r w:rsidR="001F77A8" w:rsidRPr="001F77A8">
              <w:rPr>
                <w:i/>
                <w:iCs/>
              </w:rPr>
              <w:t>DIGITAL-2021-CLOUD-AI-01</w:t>
            </w:r>
          </w:p>
          <w:p w14:paraId="74FA335C" w14:textId="514759D9" w:rsidR="002D1BAC" w:rsidRPr="002D1BAC" w:rsidRDefault="001F77A8" w:rsidP="002D1BAC">
            <w:pPr>
              <w:pStyle w:val="Lijstalinea"/>
              <w:numPr>
                <w:ilvl w:val="0"/>
                <w:numId w:val="22"/>
              </w:numPr>
              <w:rPr>
                <w:bCs/>
              </w:rPr>
            </w:pPr>
            <w:r>
              <w:rPr>
                <w:bCs/>
              </w:rPr>
              <w:t>Link:</w:t>
            </w:r>
            <w:hyperlink r:id="rId31" w:history="1">
              <w:r w:rsidR="002D1BAC" w:rsidRPr="006431E1">
                <w:rPr>
                  <w:rStyle w:val="Hyperlink"/>
                  <w:bCs/>
                </w:rPr>
                <w:t>https://ec.europa.eu/info/funding-tenders/opportunities/portal/screen/opportunities/topic-details/digital-2021-cloud-ai-01-data-tech</w:t>
              </w:r>
            </w:hyperlink>
          </w:p>
          <w:p w14:paraId="43ED5343" w14:textId="7B0286A8" w:rsidR="001F77A8" w:rsidRDefault="001F77A8" w:rsidP="002D1BAC">
            <w:pPr>
              <w:pStyle w:val="Lijstalinea"/>
              <w:numPr>
                <w:ilvl w:val="0"/>
                <w:numId w:val="22"/>
              </w:numPr>
              <w:rPr>
                <w:bCs/>
              </w:rPr>
            </w:pPr>
            <w:r>
              <w:rPr>
                <w:bCs/>
              </w:rPr>
              <w:t xml:space="preserve">Period when call was open: </w:t>
            </w:r>
            <w:r w:rsidR="002D1BAC">
              <w:rPr>
                <w:bCs/>
              </w:rPr>
              <w:t>17</w:t>
            </w:r>
            <w:r w:rsidR="00E17D1C">
              <w:rPr>
                <w:bCs/>
              </w:rPr>
              <w:t xml:space="preserve"> November </w:t>
            </w:r>
            <w:r w:rsidR="002D1BAC">
              <w:rPr>
                <w:bCs/>
              </w:rPr>
              <w:t>2021 – 22</w:t>
            </w:r>
            <w:r w:rsidR="00E17D1C">
              <w:rPr>
                <w:bCs/>
              </w:rPr>
              <w:t xml:space="preserve"> February </w:t>
            </w:r>
            <w:r w:rsidR="002D1BAC">
              <w:rPr>
                <w:bCs/>
              </w:rPr>
              <w:t>2022</w:t>
            </w:r>
          </w:p>
          <w:p w14:paraId="1E38E63C" w14:textId="22E445BC" w:rsidR="001F77A8" w:rsidRDefault="001F77A8" w:rsidP="002D1BAC">
            <w:pPr>
              <w:pStyle w:val="Lijstalinea"/>
              <w:numPr>
                <w:ilvl w:val="0"/>
                <w:numId w:val="22"/>
              </w:numPr>
              <w:rPr>
                <w:bCs/>
              </w:rPr>
            </w:pPr>
            <w:r>
              <w:rPr>
                <w:bCs/>
              </w:rPr>
              <w:t>Technical specifications of the call:</w:t>
            </w:r>
            <w:r w:rsidR="002D1BAC">
              <w:rPr>
                <w:bCs/>
              </w:rPr>
              <w:t xml:space="preserve"> </w:t>
            </w:r>
            <w:hyperlink r:id="rId32" w:history="1">
              <w:r w:rsidR="002D1BAC" w:rsidRPr="006431E1">
                <w:rPr>
                  <w:rStyle w:val="Hyperlink"/>
                  <w:bCs/>
                </w:rPr>
                <w:t>https://ec.europa.eu/info/funding-tenders/opportunities/docs/2021-2027/digital/wp-call/2021/call-fiche_digital-2021-cloud-ai-01_en.pdf</w:t>
              </w:r>
            </w:hyperlink>
          </w:p>
          <w:p w14:paraId="7FB0D407" w14:textId="77777777" w:rsidR="002D1BAC" w:rsidRPr="001F77A8" w:rsidRDefault="002D1BAC" w:rsidP="002D1BAC">
            <w:pPr>
              <w:pStyle w:val="Lijstalinea"/>
              <w:jc w:val="both"/>
              <w:rPr>
                <w:bCs/>
              </w:rPr>
            </w:pPr>
          </w:p>
          <w:p w14:paraId="50612857" w14:textId="77777777" w:rsidR="006A0180" w:rsidRDefault="006A0180" w:rsidP="00685CD4">
            <w:pPr>
              <w:jc w:val="both"/>
              <w:rPr>
                <w:lang w:val="en-US"/>
              </w:rPr>
            </w:pPr>
          </w:p>
          <w:p w14:paraId="7A77E10A" w14:textId="76816CBA" w:rsidR="006A0180" w:rsidRDefault="003B794F" w:rsidP="00685CD4">
            <w:pPr>
              <w:jc w:val="both"/>
              <w:rPr>
                <w:b/>
                <w:bCs/>
                <w:lang w:val="en-US"/>
              </w:rPr>
            </w:pPr>
            <w:r w:rsidRPr="003B794F">
              <w:rPr>
                <w:b/>
                <w:bCs/>
                <w:lang w:val="en-US"/>
              </w:rPr>
              <w:t>3. Extracts from the terms of reference for the call for proposals that ensure compliance with the ’Do no significant harm’ Technical Guidance (2021/C58/01) as specified in the CID annex.</w:t>
            </w:r>
          </w:p>
          <w:p w14:paraId="37A51F06" w14:textId="77777777" w:rsidR="003B794F" w:rsidRDefault="003B794F" w:rsidP="00685CD4">
            <w:pPr>
              <w:jc w:val="both"/>
              <w:rPr>
                <w:b/>
                <w:bCs/>
                <w:lang w:val="en-US"/>
              </w:rPr>
            </w:pPr>
          </w:p>
          <w:p w14:paraId="6CA0A4F8" w14:textId="7EE293E8" w:rsidR="00D45F30" w:rsidRPr="00DD6071" w:rsidRDefault="00A40BBA" w:rsidP="00D45F30">
            <w:pPr>
              <w:rPr>
                <w:i/>
                <w:iCs/>
                <w:u w:val="single"/>
              </w:rPr>
            </w:pPr>
            <w:r w:rsidRPr="00DD6071">
              <w:rPr>
                <w:i/>
                <w:iCs/>
                <w:u w:val="single"/>
              </w:rPr>
              <w:t xml:space="preserve">a) </w:t>
            </w:r>
            <w:proofErr w:type="spellStart"/>
            <w:r w:rsidR="00D45F30" w:rsidRPr="00DD6071">
              <w:rPr>
                <w:i/>
                <w:iCs/>
                <w:u w:val="single"/>
              </w:rPr>
              <w:t>Oproep</w:t>
            </w:r>
            <w:proofErr w:type="spellEnd"/>
            <w:r w:rsidR="00D45F30" w:rsidRPr="00DD6071">
              <w:rPr>
                <w:i/>
                <w:iCs/>
                <w:u w:val="single"/>
              </w:rPr>
              <w:t xml:space="preserve"> </w:t>
            </w:r>
            <w:proofErr w:type="spellStart"/>
            <w:r w:rsidR="00D45F30" w:rsidRPr="00DD6071">
              <w:rPr>
                <w:i/>
                <w:iCs/>
                <w:u w:val="single"/>
              </w:rPr>
              <w:t>Piloottrajecten</w:t>
            </w:r>
            <w:proofErr w:type="spellEnd"/>
            <w:r w:rsidR="00D45F30" w:rsidRPr="00DD6071">
              <w:rPr>
                <w:i/>
                <w:iCs/>
                <w:u w:val="single"/>
              </w:rPr>
              <w:t xml:space="preserve"> </w:t>
            </w:r>
            <w:proofErr w:type="spellStart"/>
            <w:r w:rsidR="00D45F30" w:rsidRPr="00DD6071">
              <w:rPr>
                <w:i/>
                <w:iCs/>
                <w:u w:val="single"/>
              </w:rPr>
              <w:t>biogebaseerde</w:t>
            </w:r>
            <w:proofErr w:type="spellEnd"/>
            <w:r w:rsidR="00D45F30" w:rsidRPr="00DD6071">
              <w:rPr>
                <w:i/>
                <w:iCs/>
                <w:u w:val="single"/>
              </w:rPr>
              <w:t xml:space="preserve"> </w:t>
            </w:r>
            <w:proofErr w:type="spellStart"/>
            <w:r w:rsidR="00D45F30" w:rsidRPr="00DD6071">
              <w:rPr>
                <w:i/>
                <w:iCs/>
                <w:u w:val="single"/>
              </w:rPr>
              <w:t>toepassingen</w:t>
            </w:r>
            <w:proofErr w:type="spellEnd"/>
          </w:p>
          <w:p w14:paraId="7145872D" w14:textId="77777777" w:rsidR="00CA5115" w:rsidRPr="00DD6071" w:rsidRDefault="00CA5115" w:rsidP="00690FE6"/>
          <w:p w14:paraId="0B484E1C" w14:textId="4F818E95" w:rsidR="00192BD6" w:rsidRDefault="00192BD6" w:rsidP="00690FE6">
            <w:r>
              <w:rPr>
                <w:lang w:val="en-US"/>
              </w:rPr>
              <w:t xml:space="preserve">A description of the procedure that was followed to ensure DNSH-compliance of the projects </w:t>
            </w:r>
            <w:r w:rsidR="00E62C9E">
              <w:rPr>
                <w:lang w:val="en-US"/>
              </w:rPr>
              <w:t xml:space="preserve">can be found in </w:t>
            </w:r>
            <w:r w:rsidRPr="009C762C">
              <w:rPr>
                <w:u w:val="single"/>
                <w:lang w:val="en-US"/>
              </w:rPr>
              <w:t xml:space="preserve">Annex </w:t>
            </w:r>
            <w:r>
              <w:rPr>
                <w:u w:val="single"/>
                <w:lang w:val="en-US"/>
              </w:rPr>
              <w:t>5</w:t>
            </w:r>
            <w:r w:rsidRPr="009C762C">
              <w:rPr>
                <w:u w:val="single"/>
                <w:lang w:val="en-US"/>
              </w:rPr>
              <w:t xml:space="preserve">. </w:t>
            </w:r>
            <w:proofErr w:type="spellStart"/>
            <w:r w:rsidRPr="00832515">
              <w:rPr>
                <w:u w:val="single"/>
                <w:lang w:val="en-US"/>
              </w:rPr>
              <w:t>Toepassing</w:t>
            </w:r>
            <w:proofErr w:type="spellEnd"/>
            <w:r w:rsidRPr="00832515">
              <w:rPr>
                <w:u w:val="single"/>
                <w:lang w:val="en-US"/>
              </w:rPr>
              <w:t xml:space="preserve"> DNSH - </w:t>
            </w:r>
            <w:proofErr w:type="spellStart"/>
            <w:r w:rsidRPr="00832515">
              <w:rPr>
                <w:u w:val="single"/>
                <w:lang w:val="en-US"/>
              </w:rPr>
              <w:t>maatregel</w:t>
            </w:r>
            <w:proofErr w:type="spellEnd"/>
            <w:r w:rsidRPr="00832515">
              <w:rPr>
                <w:u w:val="single"/>
                <w:lang w:val="en-US"/>
              </w:rPr>
              <w:t xml:space="preserve"> 5.1</w:t>
            </w:r>
            <w:r w:rsidR="00A626A6">
              <w:rPr>
                <w:u w:val="single"/>
                <w:lang w:val="en-US"/>
              </w:rPr>
              <w:t xml:space="preserve">1 </w:t>
            </w:r>
            <w:r w:rsidR="008B4500">
              <w:rPr>
                <w:lang w:val="en-US"/>
              </w:rPr>
              <w:t>on</w:t>
            </w:r>
            <w:r w:rsidR="00705CAE">
              <w:rPr>
                <w:lang w:val="en-US"/>
              </w:rPr>
              <w:t xml:space="preserve"> </w:t>
            </w:r>
            <w:r w:rsidR="00A626A6" w:rsidRPr="00A626A6">
              <w:rPr>
                <w:lang w:val="en-US"/>
              </w:rPr>
              <w:t>pages 2-3.</w:t>
            </w:r>
          </w:p>
          <w:p w14:paraId="5FC4F671" w14:textId="77777777" w:rsidR="00192BD6" w:rsidRDefault="00192BD6" w:rsidP="00690FE6"/>
          <w:p w14:paraId="658FDE6B" w14:textId="2F8FAA9B" w:rsidR="007661F1" w:rsidRPr="00DD6071" w:rsidRDefault="00A626A6" w:rsidP="00690FE6">
            <w:pPr>
              <w:rPr>
                <w:lang w:val="nl-BE"/>
              </w:rPr>
            </w:pPr>
            <w:r>
              <w:t>In brief</w:t>
            </w:r>
            <w:r w:rsidR="00705CAE">
              <w:t>,</w:t>
            </w:r>
            <w:r>
              <w:t xml:space="preserve"> the procedure is as follows: t</w:t>
            </w:r>
            <w:r w:rsidR="00CA5115">
              <w:t xml:space="preserve">o ensure DNSH-compliance of the projects selected </w:t>
            </w:r>
            <w:r w:rsidR="004E4240">
              <w:t>thr</w:t>
            </w:r>
            <w:r w:rsidR="00023C11">
              <w:t xml:space="preserve">ough the call </w:t>
            </w:r>
            <w:proofErr w:type="spellStart"/>
            <w:r w:rsidR="00023C11" w:rsidRPr="002B189A">
              <w:rPr>
                <w:i/>
                <w:iCs/>
              </w:rPr>
              <w:t>Piloottrajecten</w:t>
            </w:r>
            <w:proofErr w:type="spellEnd"/>
            <w:r w:rsidR="00023C11" w:rsidRPr="002B189A">
              <w:rPr>
                <w:i/>
                <w:iCs/>
              </w:rPr>
              <w:t xml:space="preserve"> </w:t>
            </w:r>
            <w:proofErr w:type="spellStart"/>
            <w:r w:rsidR="00023C11" w:rsidRPr="002B189A">
              <w:rPr>
                <w:i/>
                <w:iCs/>
              </w:rPr>
              <w:t>biogebaseerde</w:t>
            </w:r>
            <w:proofErr w:type="spellEnd"/>
            <w:r w:rsidR="00023C11" w:rsidRPr="002B189A">
              <w:rPr>
                <w:i/>
                <w:iCs/>
              </w:rPr>
              <w:t xml:space="preserve"> </w:t>
            </w:r>
            <w:proofErr w:type="spellStart"/>
            <w:r w:rsidR="00023C11" w:rsidRPr="002B189A">
              <w:rPr>
                <w:i/>
                <w:iCs/>
              </w:rPr>
              <w:t>toepassingen</w:t>
            </w:r>
            <w:proofErr w:type="spellEnd"/>
            <w:r w:rsidR="00705CAE">
              <w:t>,</w:t>
            </w:r>
            <w:r w:rsidR="002B189A">
              <w:rPr>
                <w:i/>
                <w:iCs/>
              </w:rPr>
              <w:t xml:space="preserve"> </w:t>
            </w:r>
            <w:r w:rsidR="00907DE2" w:rsidRPr="00907DE2">
              <w:t>the following passage was included in the manual for the call (</w:t>
            </w:r>
            <w:r w:rsidR="00907DE2">
              <w:rPr>
                <w:u w:val="single"/>
              </w:rPr>
              <w:t xml:space="preserve">Annex </w:t>
            </w:r>
            <w:r w:rsidR="161DF833" w:rsidRPr="4269C4A0">
              <w:rPr>
                <w:u w:val="single"/>
              </w:rPr>
              <w:t>3</w:t>
            </w:r>
            <w:r w:rsidR="4CAA8E0A" w:rsidRPr="4269C4A0">
              <w:rPr>
                <w:u w:val="single"/>
              </w:rPr>
              <w:t>f</w:t>
            </w:r>
            <w:r w:rsidR="00907DE2">
              <w:rPr>
                <w:u w:val="single"/>
              </w:rPr>
              <w:t xml:space="preserve">. </w:t>
            </w:r>
            <w:r w:rsidR="00907DE2" w:rsidRPr="00DD6071">
              <w:rPr>
                <w:u w:val="single"/>
                <w:lang w:val="nl-BE"/>
              </w:rPr>
              <w:t xml:space="preserve">Handleiding Piloottraject </w:t>
            </w:r>
            <w:proofErr w:type="spellStart"/>
            <w:r w:rsidR="00907DE2" w:rsidRPr="00DD6071">
              <w:rPr>
                <w:u w:val="single"/>
                <w:lang w:val="nl-BE"/>
              </w:rPr>
              <w:t>biogebaseerde</w:t>
            </w:r>
            <w:proofErr w:type="spellEnd"/>
            <w:r w:rsidR="00907DE2" w:rsidRPr="00DD6071">
              <w:rPr>
                <w:u w:val="single"/>
                <w:lang w:val="nl-BE"/>
              </w:rPr>
              <w:t xml:space="preserve"> toepassingen,</w:t>
            </w:r>
            <w:r w:rsidR="00907DE2" w:rsidRPr="00DD6071">
              <w:rPr>
                <w:lang w:val="nl-BE"/>
              </w:rPr>
              <w:t xml:space="preserve"> p. 3)</w:t>
            </w:r>
            <w:r w:rsidR="00CA5115" w:rsidRPr="00DD6071">
              <w:rPr>
                <w:lang w:val="nl-BE"/>
              </w:rPr>
              <w:t xml:space="preserve"> </w:t>
            </w:r>
          </w:p>
          <w:p w14:paraId="6AE2AF0D" w14:textId="77777777" w:rsidR="007B2B5B" w:rsidRPr="00DD6071" w:rsidRDefault="007B2B5B" w:rsidP="00690FE6">
            <w:pPr>
              <w:rPr>
                <w:lang w:val="nl-BE"/>
              </w:rPr>
            </w:pPr>
          </w:p>
          <w:p w14:paraId="1731493C" w14:textId="19EB6051" w:rsidR="007B2B5B" w:rsidRPr="00DD6071" w:rsidRDefault="007B2B5B" w:rsidP="00690FE6">
            <w:pPr>
              <w:rPr>
                <w:i/>
                <w:iCs/>
                <w:lang w:val="nl-BE"/>
              </w:rPr>
            </w:pPr>
            <w:r w:rsidRPr="00DD6071">
              <w:rPr>
                <w:i/>
                <w:iCs/>
                <w:lang w:val="nl-BE"/>
              </w:rPr>
              <w:t xml:space="preserve">1.4 Toepassing beginsel ‘do no significant </w:t>
            </w:r>
            <w:proofErr w:type="spellStart"/>
            <w:r w:rsidRPr="00DD6071">
              <w:rPr>
                <w:i/>
                <w:iCs/>
                <w:lang w:val="nl-BE"/>
              </w:rPr>
              <w:t>harm</w:t>
            </w:r>
            <w:proofErr w:type="spellEnd"/>
            <w:r w:rsidRPr="00DD6071">
              <w:rPr>
                <w:i/>
                <w:iCs/>
                <w:lang w:val="nl-BE"/>
              </w:rPr>
              <w:t xml:space="preserve">’ </w:t>
            </w:r>
          </w:p>
          <w:p w14:paraId="7B0CDCA4" w14:textId="58D34FE6" w:rsidR="007B2B5B" w:rsidRPr="007B2B5B" w:rsidRDefault="007B2B5B" w:rsidP="00690FE6">
            <w:pPr>
              <w:rPr>
                <w:lang w:val="nl-BE"/>
              </w:rPr>
            </w:pPr>
            <w:r w:rsidRPr="007E4AC2">
              <w:rPr>
                <w:i/>
                <w:iCs/>
                <w:lang w:val="nl-BE"/>
              </w:rPr>
              <w:t>Om financiering te kunnen krijgen vanuit de relancemiddelen, dient het project het DNSH-beginsel in acht te nemen. Dit betekent dat het geen ernstige afbreuk mag doen aan milieudoelstellingen in de zin van artikel 17 van de Taxonomieverordening. Dit dient aangetoond te worden via een analyse op basis van het voorziene sjabloon (zie aanvraagtemplate).</w:t>
            </w:r>
          </w:p>
          <w:p w14:paraId="20F2E238" w14:textId="77777777" w:rsidR="001F77A8" w:rsidRDefault="001F77A8" w:rsidP="00690FE6">
            <w:pPr>
              <w:rPr>
                <w:lang w:val="nl-BE"/>
              </w:rPr>
            </w:pPr>
          </w:p>
          <w:p w14:paraId="3ACEBA51" w14:textId="0EF46F8D" w:rsidR="00D06276" w:rsidRDefault="009C1890" w:rsidP="00690FE6">
            <w:r w:rsidRPr="009C1890">
              <w:t>The application template included a reference to the list of excluded activities and required the applicant to complete an a</w:t>
            </w:r>
            <w:r w:rsidR="00980DE9">
              <w:t>nnex</w:t>
            </w:r>
            <w:r w:rsidRPr="009C1890">
              <w:t xml:space="preserve"> to demonstrate that the project met the DNSH conditions as stated in the CID annex</w:t>
            </w:r>
            <w:r>
              <w:t xml:space="preserve">. </w:t>
            </w:r>
          </w:p>
          <w:p w14:paraId="7C5D71EF" w14:textId="0F71F598" w:rsidR="007E4AC2" w:rsidRPr="007F5A1A" w:rsidRDefault="00BD1379" w:rsidP="00690FE6">
            <w:pPr>
              <w:rPr>
                <w:lang w:val="nl-BE"/>
              </w:rPr>
            </w:pPr>
            <w:r w:rsidRPr="4269C4A0">
              <w:rPr>
                <w:lang w:val="en-US"/>
              </w:rPr>
              <w:t xml:space="preserve">The template for the application of the projects is included in </w:t>
            </w:r>
            <w:r w:rsidRPr="4269C4A0">
              <w:rPr>
                <w:u w:val="single"/>
                <w:lang w:val="en-US"/>
              </w:rPr>
              <w:t>Annex 3</w:t>
            </w:r>
            <w:r w:rsidR="00181532" w:rsidRPr="4269C4A0">
              <w:rPr>
                <w:u w:val="single"/>
                <w:lang w:val="en-US"/>
              </w:rPr>
              <w:t>a</w:t>
            </w:r>
            <w:r w:rsidR="02539312" w:rsidRPr="4269C4A0">
              <w:rPr>
                <w:u w:val="single"/>
                <w:lang w:val="en-US"/>
              </w:rPr>
              <w:t>.</w:t>
            </w:r>
            <w:r w:rsidR="006D4415" w:rsidRPr="4269C4A0">
              <w:rPr>
                <w:u w:val="single"/>
                <w:lang w:val="en-US"/>
              </w:rPr>
              <w:t xml:space="preserve"> </w:t>
            </w:r>
            <w:r w:rsidR="006D4415" w:rsidRPr="007F5A1A">
              <w:rPr>
                <w:u w:val="single"/>
                <w:lang w:val="nl-BE"/>
              </w:rPr>
              <w:t xml:space="preserve">Template </w:t>
            </w:r>
            <w:r w:rsidR="0015574D" w:rsidRPr="007F5A1A">
              <w:rPr>
                <w:u w:val="single"/>
                <w:lang w:val="nl-BE"/>
              </w:rPr>
              <w:t xml:space="preserve">Piloottrajecten </w:t>
            </w:r>
            <w:proofErr w:type="spellStart"/>
            <w:r w:rsidR="0015574D" w:rsidRPr="007F5A1A">
              <w:rPr>
                <w:u w:val="single"/>
                <w:lang w:val="nl-BE"/>
              </w:rPr>
              <w:t>biogebaseerde</w:t>
            </w:r>
            <w:proofErr w:type="spellEnd"/>
            <w:r w:rsidR="0015574D" w:rsidRPr="007F5A1A">
              <w:rPr>
                <w:u w:val="single"/>
                <w:lang w:val="nl-BE"/>
              </w:rPr>
              <w:t xml:space="preserve"> toepassingen</w:t>
            </w:r>
            <w:r w:rsidR="0015574D" w:rsidRPr="007F5A1A">
              <w:rPr>
                <w:lang w:val="nl-BE"/>
              </w:rPr>
              <w:t>.</w:t>
            </w:r>
            <w:r w:rsidR="001C3AAC" w:rsidRPr="007F5A1A">
              <w:rPr>
                <w:lang w:val="nl-BE"/>
              </w:rPr>
              <w:t xml:space="preserve"> (</w:t>
            </w:r>
            <w:hyperlink r:id="rId33">
              <w:r w:rsidR="655A21F4" w:rsidRPr="007F5A1A">
                <w:rPr>
                  <w:rStyle w:val="Hyperlink"/>
                  <w:lang w:val="nl-BE"/>
                </w:rPr>
                <w:t>https://www.vlaio.be/nl/media/1784</w:t>
              </w:r>
            </w:hyperlink>
            <w:r w:rsidR="655A21F4" w:rsidRPr="007F5A1A">
              <w:rPr>
                <w:lang w:val="nl-BE"/>
              </w:rPr>
              <w:t>)</w:t>
            </w:r>
          </w:p>
          <w:p w14:paraId="590058E3" w14:textId="77777777" w:rsidR="00D06276" w:rsidRPr="007F5A1A" w:rsidRDefault="00D06276" w:rsidP="00690FE6">
            <w:pPr>
              <w:rPr>
                <w:lang w:val="nl-BE"/>
              </w:rPr>
            </w:pPr>
          </w:p>
          <w:p w14:paraId="3128A0A8" w14:textId="77777777" w:rsidR="00690FE6" w:rsidRPr="007F5A1A" w:rsidRDefault="00690FE6" w:rsidP="00685CD4">
            <w:pPr>
              <w:jc w:val="both"/>
              <w:rPr>
                <w:lang w:val="nl-BE"/>
              </w:rPr>
            </w:pPr>
          </w:p>
          <w:p w14:paraId="07A6AED8" w14:textId="5AB414C3" w:rsidR="0037577D" w:rsidRDefault="00CF2665" w:rsidP="00685CD4">
            <w:pPr>
              <w:jc w:val="both"/>
            </w:pPr>
            <w:r>
              <w:t>The communication</w:t>
            </w:r>
            <w:r w:rsidR="004E4CCC">
              <w:t xml:space="preserve"> to the applicants </w:t>
            </w:r>
            <w:r>
              <w:t xml:space="preserve">after approval of the projects </w:t>
            </w:r>
            <w:r w:rsidR="00045862">
              <w:t xml:space="preserve">includes the following condition regarding DNSH: </w:t>
            </w:r>
          </w:p>
          <w:p w14:paraId="6C1898FB" w14:textId="77777777" w:rsidR="00045862" w:rsidRDefault="00045862" w:rsidP="00685CD4">
            <w:pPr>
              <w:jc w:val="both"/>
            </w:pPr>
          </w:p>
          <w:p w14:paraId="527BF241" w14:textId="5A008FDB" w:rsidR="00045862" w:rsidRPr="00045862" w:rsidRDefault="00045862" w:rsidP="00685CD4">
            <w:pPr>
              <w:jc w:val="both"/>
              <w:rPr>
                <w:i/>
                <w:iCs/>
                <w:lang w:val="nl-BE"/>
              </w:rPr>
            </w:pPr>
            <w:r w:rsidRPr="00045862">
              <w:rPr>
                <w:i/>
                <w:iCs/>
                <w:lang w:val="nl-BE"/>
              </w:rPr>
              <w:t xml:space="preserve">De opstart van het project en de toekenning van de subsidie is afhankelijk van de bevestiging door de begunstigde dat  bij de uitvoering van het project te allen tijde de relevante EU-, nationale en regionale milieuwetgeving wordt gerespecteerd. </w:t>
            </w:r>
          </w:p>
          <w:p w14:paraId="6E76B2BE" w14:textId="77777777" w:rsidR="00045862" w:rsidRDefault="00045862" w:rsidP="00685CD4">
            <w:pPr>
              <w:jc w:val="both"/>
              <w:rPr>
                <w:lang w:val="nl-BE"/>
              </w:rPr>
            </w:pPr>
          </w:p>
          <w:p w14:paraId="0E0A2A7E" w14:textId="77777777" w:rsidR="009C1890" w:rsidRPr="00DD6071" w:rsidRDefault="009C1890" w:rsidP="00685CD4">
            <w:pPr>
              <w:jc w:val="both"/>
              <w:rPr>
                <w:lang w:val="nl-BE"/>
              </w:rPr>
            </w:pPr>
          </w:p>
          <w:p w14:paraId="37A1A90C" w14:textId="760758B7" w:rsidR="00CA5115" w:rsidRPr="00A40BBA" w:rsidRDefault="00A40BBA" w:rsidP="00CA5115">
            <w:pPr>
              <w:rPr>
                <w:i/>
                <w:iCs/>
                <w:u w:val="single"/>
                <w:lang w:val="nl-BE"/>
              </w:rPr>
            </w:pPr>
            <w:r w:rsidRPr="00A40BBA">
              <w:rPr>
                <w:i/>
                <w:iCs/>
                <w:u w:val="single"/>
                <w:lang w:val="nl-BE"/>
              </w:rPr>
              <w:t xml:space="preserve">b) </w:t>
            </w:r>
            <w:r w:rsidR="00CA5115" w:rsidRPr="00A40BBA">
              <w:rPr>
                <w:i/>
                <w:iCs/>
                <w:u w:val="single"/>
                <w:lang w:val="nl-BE"/>
              </w:rPr>
              <w:t>Oproep Onderzoeksinfrastructuur hogescholen (OI.HS) 2021</w:t>
            </w:r>
          </w:p>
          <w:p w14:paraId="6137E038" w14:textId="77777777" w:rsidR="00CA5115" w:rsidRDefault="00CA5115" w:rsidP="00685CD4">
            <w:pPr>
              <w:jc w:val="both"/>
              <w:rPr>
                <w:lang w:val="nl-BE"/>
              </w:rPr>
            </w:pPr>
          </w:p>
          <w:p w14:paraId="639001C0" w14:textId="3A997CA2" w:rsidR="00C87C7A" w:rsidRDefault="00D01698" w:rsidP="00BC5D73">
            <w:pPr>
              <w:pStyle w:val="Default"/>
              <w:rPr>
                <w:rFonts w:asciiTheme="minorHAnsi" w:hAnsiTheme="minorHAnsi" w:cstheme="minorHAnsi"/>
                <w:sz w:val="22"/>
                <w:szCs w:val="22"/>
              </w:rPr>
            </w:pPr>
            <w:r w:rsidRPr="00FA6AC8">
              <w:rPr>
                <w:rFonts w:asciiTheme="minorHAnsi" w:hAnsiTheme="minorHAnsi" w:cstheme="minorHAnsi"/>
                <w:sz w:val="22"/>
                <w:szCs w:val="22"/>
              </w:rPr>
              <w:t xml:space="preserve">The </w:t>
            </w:r>
            <w:proofErr w:type="spellStart"/>
            <w:r w:rsidRPr="00FA6AC8">
              <w:rPr>
                <w:rFonts w:asciiTheme="minorHAnsi" w:hAnsiTheme="minorHAnsi" w:cstheme="minorHAnsi"/>
                <w:i/>
                <w:iCs/>
                <w:sz w:val="22"/>
                <w:szCs w:val="22"/>
              </w:rPr>
              <w:t>Oproep</w:t>
            </w:r>
            <w:proofErr w:type="spellEnd"/>
            <w:r w:rsidRPr="00FA6AC8">
              <w:rPr>
                <w:rFonts w:asciiTheme="minorHAnsi" w:hAnsiTheme="minorHAnsi" w:cstheme="minorHAnsi"/>
                <w:i/>
                <w:iCs/>
                <w:sz w:val="22"/>
                <w:szCs w:val="22"/>
              </w:rPr>
              <w:t xml:space="preserve"> Onderzoeksinfrastructuur </w:t>
            </w:r>
            <w:proofErr w:type="spellStart"/>
            <w:r w:rsidRPr="00FA6AC8">
              <w:rPr>
                <w:rFonts w:asciiTheme="minorHAnsi" w:hAnsiTheme="minorHAnsi" w:cstheme="minorHAnsi"/>
                <w:i/>
                <w:iCs/>
                <w:sz w:val="22"/>
                <w:szCs w:val="22"/>
              </w:rPr>
              <w:t>hogescholen</w:t>
            </w:r>
            <w:proofErr w:type="spellEnd"/>
            <w:r w:rsidRPr="00FA6AC8">
              <w:rPr>
                <w:rFonts w:asciiTheme="minorHAnsi" w:hAnsiTheme="minorHAnsi" w:cstheme="minorHAnsi"/>
                <w:i/>
                <w:iCs/>
                <w:sz w:val="22"/>
                <w:szCs w:val="22"/>
              </w:rPr>
              <w:t xml:space="preserve"> (OI.HS) 2021</w:t>
            </w:r>
            <w:r w:rsidRPr="00FA6AC8">
              <w:rPr>
                <w:rFonts w:asciiTheme="minorHAnsi" w:hAnsiTheme="minorHAnsi" w:cstheme="minorHAnsi"/>
                <w:sz w:val="22"/>
                <w:szCs w:val="22"/>
              </w:rPr>
              <w:t xml:space="preserve"> was launched </w:t>
            </w:r>
            <w:r w:rsidR="00D05840" w:rsidRPr="00FA6AC8">
              <w:rPr>
                <w:rFonts w:asciiTheme="minorHAnsi" w:hAnsiTheme="minorHAnsi" w:cstheme="minorHAnsi"/>
                <w:sz w:val="22"/>
                <w:szCs w:val="22"/>
              </w:rPr>
              <w:t>be</w:t>
            </w:r>
            <w:r w:rsidRPr="00FA6AC8">
              <w:rPr>
                <w:rFonts w:asciiTheme="minorHAnsi" w:hAnsiTheme="minorHAnsi" w:cstheme="minorHAnsi"/>
                <w:sz w:val="22"/>
                <w:szCs w:val="22"/>
              </w:rPr>
              <w:t>for</w:t>
            </w:r>
            <w:r w:rsidR="00D05840" w:rsidRPr="00FA6AC8">
              <w:rPr>
                <w:rFonts w:asciiTheme="minorHAnsi" w:hAnsiTheme="minorHAnsi" w:cstheme="minorHAnsi"/>
                <w:sz w:val="22"/>
                <w:szCs w:val="22"/>
              </w:rPr>
              <w:t>e</w:t>
            </w:r>
            <w:r w:rsidRPr="00FA6AC8">
              <w:rPr>
                <w:rFonts w:asciiTheme="minorHAnsi" w:hAnsiTheme="minorHAnsi" w:cstheme="minorHAnsi"/>
                <w:sz w:val="22"/>
                <w:szCs w:val="22"/>
              </w:rPr>
              <w:t xml:space="preserve"> the approval of the Council Implementation Decision</w:t>
            </w:r>
            <w:r w:rsidR="001A6401">
              <w:rPr>
                <w:rFonts w:asciiTheme="minorHAnsi" w:hAnsiTheme="minorHAnsi" w:cstheme="minorHAnsi"/>
                <w:sz w:val="22"/>
                <w:szCs w:val="22"/>
              </w:rPr>
              <w:t xml:space="preserve"> (on the 28</w:t>
            </w:r>
            <w:r w:rsidR="001A6401" w:rsidRPr="001A6401">
              <w:rPr>
                <w:rFonts w:asciiTheme="minorHAnsi" w:hAnsiTheme="minorHAnsi" w:cstheme="minorHAnsi"/>
                <w:sz w:val="22"/>
                <w:szCs w:val="22"/>
                <w:vertAlign w:val="superscript"/>
              </w:rPr>
              <w:t>th</w:t>
            </w:r>
            <w:r w:rsidR="001A6401">
              <w:rPr>
                <w:rFonts w:asciiTheme="minorHAnsi" w:hAnsiTheme="minorHAnsi" w:cstheme="minorHAnsi"/>
                <w:sz w:val="22"/>
                <w:szCs w:val="22"/>
              </w:rPr>
              <w:t xml:space="preserve"> of April 2021)</w:t>
            </w:r>
            <w:r w:rsidRPr="00FA6AC8">
              <w:rPr>
                <w:rFonts w:asciiTheme="minorHAnsi" w:hAnsiTheme="minorHAnsi" w:cstheme="minorHAnsi"/>
                <w:sz w:val="22"/>
                <w:szCs w:val="22"/>
              </w:rPr>
              <w:t xml:space="preserve">. </w:t>
            </w:r>
          </w:p>
          <w:p w14:paraId="67082C38" w14:textId="77777777" w:rsidR="00C87C7A" w:rsidRDefault="00C87C7A" w:rsidP="00BC5D73">
            <w:pPr>
              <w:pStyle w:val="Default"/>
              <w:rPr>
                <w:rFonts w:asciiTheme="minorHAnsi" w:hAnsiTheme="minorHAnsi" w:cstheme="minorHAnsi"/>
                <w:sz w:val="22"/>
                <w:szCs w:val="22"/>
              </w:rPr>
            </w:pPr>
          </w:p>
          <w:p w14:paraId="1CEC8066" w14:textId="5BB341AB" w:rsidR="00657C33" w:rsidRDefault="00D01698" w:rsidP="00BC5D73">
            <w:pPr>
              <w:pStyle w:val="Default"/>
              <w:rPr>
                <w:rFonts w:asciiTheme="minorHAnsi" w:hAnsiTheme="minorHAnsi" w:cstheme="minorBidi"/>
                <w:sz w:val="22"/>
                <w:szCs w:val="22"/>
                <w:lang w:val="en-US"/>
              </w:rPr>
            </w:pPr>
            <w:r w:rsidRPr="4269C4A0">
              <w:rPr>
                <w:rFonts w:asciiTheme="minorHAnsi" w:hAnsiTheme="minorHAnsi" w:cstheme="minorBidi"/>
                <w:sz w:val="22"/>
                <w:szCs w:val="22"/>
                <w:lang w:val="en-US"/>
              </w:rPr>
              <w:lastRenderedPageBreak/>
              <w:t xml:space="preserve">To ensure that the projects </w:t>
            </w:r>
            <w:r w:rsidR="00D05840" w:rsidRPr="4269C4A0">
              <w:rPr>
                <w:rFonts w:asciiTheme="minorHAnsi" w:hAnsiTheme="minorHAnsi" w:cstheme="minorBidi"/>
                <w:sz w:val="22"/>
                <w:szCs w:val="22"/>
                <w:lang w:val="en-US"/>
              </w:rPr>
              <w:t>we</w:t>
            </w:r>
            <w:r w:rsidRPr="4269C4A0">
              <w:rPr>
                <w:rFonts w:asciiTheme="minorHAnsi" w:hAnsiTheme="minorHAnsi" w:cstheme="minorBidi"/>
                <w:sz w:val="22"/>
                <w:szCs w:val="22"/>
                <w:lang w:val="en-US"/>
              </w:rPr>
              <w:t xml:space="preserve">re DNSH compliant, the call documents referred to the 6 environmental objectives and asked project applicants to </w:t>
            </w:r>
            <w:proofErr w:type="spellStart"/>
            <w:r w:rsidRPr="4269C4A0">
              <w:rPr>
                <w:rFonts w:asciiTheme="minorHAnsi" w:hAnsiTheme="minorHAnsi" w:cstheme="minorBidi"/>
                <w:sz w:val="22"/>
                <w:szCs w:val="22"/>
                <w:lang w:val="en-US"/>
              </w:rPr>
              <w:t>analy</w:t>
            </w:r>
            <w:r w:rsidR="00D05840" w:rsidRPr="4269C4A0">
              <w:rPr>
                <w:rFonts w:asciiTheme="minorHAnsi" w:hAnsiTheme="minorHAnsi" w:cstheme="minorBidi"/>
                <w:sz w:val="22"/>
                <w:szCs w:val="22"/>
                <w:lang w:val="en-US"/>
              </w:rPr>
              <w:t>s</w:t>
            </w:r>
            <w:r w:rsidRPr="4269C4A0">
              <w:rPr>
                <w:rFonts w:asciiTheme="minorHAnsi" w:hAnsiTheme="minorHAnsi" w:cstheme="minorBidi"/>
                <w:sz w:val="22"/>
                <w:szCs w:val="22"/>
                <w:lang w:val="en-US"/>
              </w:rPr>
              <w:t>e</w:t>
            </w:r>
            <w:proofErr w:type="spellEnd"/>
            <w:r w:rsidRPr="4269C4A0">
              <w:rPr>
                <w:rFonts w:asciiTheme="minorHAnsi" w:hAnsiTheme="minorHAnsi" w:cstheme="minorBidi"/>
                <w:sz w:val="22"/>
                <w:szCs w:val="22"/>
                <w:lang w:val="en-US"/>
              </w:rPr>
              <w:t xml:space="preserve"> their project and indicate whether the activities in the project </w:t>
            </w:r>
            <w:r w:rsidR="00322EB2" w:rsidRPr="4269C4A0">
              <w:rPr>
                <w:rFonts w:asciiTheme="minorHAnsi" w:hAnsiTheme="minorHAnsi" w:cstheme="minorBidi"/>
                <w:sz w:val="22"/>
                <w:szCs w:val="22"/>
                <w:lang w:val="en-US"/>
              </w:rPr>
              <w:t xml:space="preserve">caused </w:t>
            </w:r>
            <w:r w:rsidRPr="4269C4A0">
              <w:rPr>
                <w:rFonts w:asciiTheme="minorHAnsi" w:hAnsiTheme="minorHAnsi" w:cstheme="minorBidi"/>
                <w:sz w:val="22"/>
                <w:szCs w:val="22"/>
                <w:lang w:val="en-US"/>
              </w:rPr>
              <w:t xml:space="preserve">significant harm </w:t>
            </w:r>
            <w:r w:rsidR="00322EB2" w:rsidRPr="4269C4A0">
              <w:rPr>
                <w:rFonts w:asciiTheme="minorHAnsi" w:hAnsiTheme="minorHAnsi" w:cstheme="minorBidi"/>
                <w:sz w:val="22"/>
                <w:szCs w:val="22"/>
                <w:lang w:val="en-US"/>
              </w:rPr>
              <w:t xml:space="preserve">to </w:t>
            </w:r>
            <w:r w:rsidRPr="4269C4A0">
              <w:rPr>
                <w:rFonts w:asciiTheme="minorHAnsi" w:hAnsiTheme="minorHAnsi" w:cstheme="minorBidi"/>
                <w:sz w:val="22"/>
                <w:szCs w:val="22"/>
                <w:lang w:val="en-US"/>
              </w:rPr>
              <w:t>the environmental objectives.</w:t>
            </w:r>
            <w:r w:rsidR="00356750" w:rsidRPr="4269C4A0">
              <w:rPr>
                <w:rFonts w:asciiTheme="minorHAnsi" w:hAnsiTheme="minorHAnsi" w:cstheme="minorBidi"/>
                <w:sz w:val="22"/>
                <w:szCs w:val="22"/>
                <w:lang w:val="en-US"/>
              </w:rPr>
              <w:t xml:space="preserve"> </w:t>
            </w:r>
            <w:r w:rsidRPr="4269C4A0">
              <w:rPr>
                <w:rFonts w:asciiTheme="minorHAnsi" w:hAnsiTheme="minorHAnsi" w:cstheme="minorBidi"/>
                <w:sz w:val="22"/>
                <w:szCs w:val="22"/>
                <w:lang w:val="en-US"/>
              </w:rPr>
              <w:t xml:space="preserve"> </w:t>
            </w:r>
            <w:r w:rsidR="00BC5D73" w:rsidRPr="4269C4A0">
              <w:rPr>
                <w:rFonts w:asciiTheme="minorHAnsi" w:hAnsiTheme="minorHAnsi" w:cstheme="minorBidi"/>
                <w:sz w:val="22"/>
                <w:szCs w:val="22"/>
                <w:lang w:val="en-US"/>
              </w:rPr>
              <w:t>In the manual for</w:t>
            </w:r>
            <w:r w:rsidR="00FA6AC8" w:rsidRPr="4269C4A0">
              <w:rPr>
                <w:rFonts w:asciiTheme="minorHAnsi" w:hAnsiTheme="minorHAnsi" w:cstheme="minorBidi"/>
                <w:sz w:val="22"/>
                <w:szCs w:val="22"/>
                <w:lang w:val="en-US"/>
              </w:rPr>
              <w:t xml:space="preserve"> the call, which is included in</w:t>
            </w:r>
            <w:r w:rsidR="00FF4210" w:rsidRPr="4269C4A0">
              <w:rPr>
                <w:rFonts w:asciiTheme="minorHAnsi" w:hAnsiTheme="minorHAnsi" w:cstheme="minorBidi"/>
                <w:sz w:val="22"/>
                <w:szCs w:val="22"/>
                <w:lang w:val="en-US"/>
              </w:rPr>
              <w:t xml:space="preserve"> </w:t>
            </w:r>
            <w:r w:rsidR="00FF4210" w:rsidRPr="4269C4A0">
              <w:rPr>
                <w:rFonts w:asciiTheme="minorHAnsi" w:hAnsiTheme="minorHAnsi" w:cstheme="minorBidi"/>
                <w:sz w:val="22"/>
                <w:szCs w:val="22"/>
                <w:u w:val="single"/>
                <w:lang w:val="en-US"/>
              </w:rPr>
              <w:t>Annex 3</w:t>
            </w:r>
            <w:r w:rsidR="00181532" w:rsidRPr="4269C4A0">
              <w:rPr>
                <w:rFonts w:asciiTheme="minorHAnsi" w:hAnsiTheme="minorHAnsi" w:cstheme="minorBidi"/>
                <w:sz w:val="22"/>
                <w:szCs w:val="22"/>
                <w:u w:val="single"/>
                <w:lang w:val="en-US"/>
              </w:rPr>
              <w:t>b</w:t>
            </w:r>
            <w:r w:rsidR="0D03E72B" w:rsidRPr="4269C4A0">
              <w:rPr>
                <w:rFonts w:asciiTheme="minorHAnsi" w:hAnsiTheme="minorHAnsi" w:cstheme="minorBidi"/>
                <w:sz w:val="22"/>
                <w:szCs w:val="22"/>
                <w:u w:val="single"/>
                <w:lang w:val="en-US"/>
              </w:rPr>
              <w:t>.</w:t>
            </w:r>
            <w:r w:rsidR="00FF4210" w:rsidRPr="4269C4A0">
              <w:rPr>
                <w:rFonts w:asciiTheme="minorHAnsi" w:hAnsiTheme="minorHAnsi" w:cstheme="minorBidi"/>
                <w:sz w:val="22"/>
                <w:szCs w:val="22"/>
                <w:u w:val="single"/>
                <w:lang w:val="en-US"/>
              </w:rPr>
              <w:t xml:space="preserve"> </w:t>
            </w:r>
            <w:r w:rsidR="00633F49">
              <w:rPr>
                <w:rFonts w:asciiTheme="minorHAnsi" w:hAnsiTheme="minorHAnsi" w:cstheme="minorBidi"/>
                <w:sz w:val="22"/>
                <w:szCs w:val="22"/>
                <w:u w:val="single"/>
                <w:lang w:val="en-US"/>
              </w:rPr>
              <w:t>–</w:t>
            </w:r>
            <w:r w:rsidR="00FF4210" w:rsidRPr="4269C4A0">
              <w:rPr>
                <w:rFonts w:asciiTheme="minorHAnsi" w:hAnsiTheme="minorHAnsi" w:cstheme="minorBidi"/>
                <w:sz w:val="22"/>
                <w:szCs w:val="22"/>
                <w:u w:val="single"/>
                <w:lang w:val="en-US"/>
              </w:rPr>
              <w:t xml:space="preserve"> </w:t>
            </w:r>
            <w:proofErr w:type="spellStart"/>
            <w:r w:rsidR="00FF4210" w:rsidRPr="4269C4A0">
              <w:rPr>
                <w:rFonts w:asciiTheme="minorHAnsi" w:hAnsiTheme="minorHAnsi" w:cstheme="minorBidi"/>
                <w:sz w:val="22"/>
                <w:szCs w:val="22"/>
                <w:u w:val="single"/>
                <w:lang w:val="en-US"/>
              </w:rPr>
              <w:t>OI_HS_oproep</w:t>
            </w:r>
            <w:proofErr w:type="spellEnd"/>
            <w:r w:rsidR="00FF4210" w:rsidRPr="4269C4A0">
              <w:rPr>
                <w:rFonts w:asciiTheme="minorHAnsi" w:hAnsiTheme="minorHAnsi" w:cstheme="minorBidi"/>
                <w:sz w:val="22"/>
                <w:szCs w:val="22"/>
                <w:u w:val="single"/>
                <w:lang w:val="en-US"/>
              </w:rPr>
              <w:t xml:space="preserve"> 2021_Handleiding</w:t>
            </w:r>
            <w:r w:rsidR="00633F49">
              <w:rPr>
                <w:rFonts w:asciiTheme="minorHAnsi" w:hAnsiTheme="minorHAnsi" w:cstheme="minorBidi"/>
                <w:sz w:val="22"/>
                <w:szCs w:val="22"/>
                <w:lang w:val="en-US"/>
              </w:rPr>
              <w:t>,</w:t>
            </w:r>
            <w:r w:rsidR="00C87C7A" w:rsidRPr="4269C4A0">
              <w:rPr>
                <w:rFonts w:asciiTheme="minorHAnsi" w:hAnsiTheme="minorHAnsi" w:cstheme="minorBidi"/>
                <w:sz w:val="22"/>
                <w:szCs w:val="22"/>
                <w:lang w:val="en-US"/>
              </w:rPr>
              <w:t xml:space="preserve"> the following passage was included </w:t>
            </w:r>
            <w:r w:rsidR="00657C33" w:rsidRPr="4269C4A0">
              <w:rPr>
                <w:rFonts w:asciiTheme="minorHAnsi" w:hAnsiTheme="minorHAnsi" w:cstheme="minorBidi"/>
                <w:sz w:val="22"/>
                <w:szCs w:val="22"/>
                <w:lang w:val="en-US"/>
              </w:rPr>
              <w:t>with regard to DNSH</w:t>
            </w:r>
            <w:r w:rsidR="00F40833" w:rsidRPr="4269C4A0">
              <w:rPr>
                <w:rFonts w:asciiTheme="minorHAnsi" w:hAnsiTheme="minorHAnsi" w:cstheme="minorBidi"/>
                <w:sz w:val="22"/>
                <w:szCs w:val="22"/>
                <w:lang w:val="en-US"/>
              </w:rPr>
              <w:t xml:space="preserve"> (p.10)</w:t>
            </w:r>
            <w:r w:rsidR="00657C33" w:rsidRPr="4269C4A0">
              <w:rPr>
                <w:rFonts w:asciiTheme="minorHAnsi" w:hAnsiTheme="minorHAnsi" w:cstheme="minorBidi"/>
                <w:sz w:val="22"/>
                <w:szCs w:val="22"/>
                <w:lang w:val="en-US"/>
              </w:rPr>
              <w:t xml:space="preserve">: </w:t>
            </w:r>
          </w:p>
          <w:p w14:paraId="09109708" w14:textId="77777777" w:rsidR="00657C33" w:rsidRDefault="00BC5D73" w:rsidP="00657C33">
            <w:pPr>
              <w:pStyle w:val="Default"/>
              <w:rPr>
                <w:rFonts w:asciiTheme="minorHAnsi" w:hAnsiTheme="minorHAnsi" w:cstheme="minorHAnsi"/>
                <w:sz w:val="22"/>
                <w:szCs w:val="22"/>
              </w:rPr>
            </w:pPr>
            <w:r w:rsidRPr="00FA6AC8">
              <w:rPr>
                <w:rFonts w:asciiTheme="minorHAnsi" w:hAnsiTheme="minorHAnsi" w:cstheme="minorHAnsi"/>
                <w:sz w:val="22"/>
                <w:szCs w:val="22"/>
              </w:rPr>
              <w:t xml:space="preserve"> </w:t>
            </w:r>
          </w:p>
          <w:p w14:paraId="23D5C4E4" w14:textId="5AB912BC" w:rsidR="00BC5D73" w:rsidRPr="00DD6071" w:rsidRDefault="00BC5D73" w:rsidP="00657C33">
            <w:pPr>
              <w:pStyle w:val="Default"/>
              <w:rPr>
                <w:rFonts w:asciiTheme="minorHAnsi" w:hAnsiTheme="minorHAnsi" w:cstheme="minorHAnsi"/>
                <w:i/>
                <w:iCs/>
                <w:sz w:val="22"/>
                <w:szCs w:val="22"/>
                <w:lang w:val="nl-BE"/>
              </w:rPr>
            </w:pPr>
            <w:r w:rsidRPr="00BC5D73">
              <w:rPr>
                <w:rFonts w:asciiTheme="minorHAnsi" w:hAnsiTheme="minorHAnsi" w:cstheme="minorHAnsi"/>
                <w:i/>
                <w:iCs/>
                <w:sz w:val="22"/>
                <w:szCs w:val="22"/>
              </w:rPr>
              <w:t xml:space="preserve">Het project is in </w:t>
            </w:r>
            <w:proofErr w:type="spellStart"/>
            <w:r w:rsidRPr="00BC5D73">
              <w:rPr>
                <w:rFonts w:asciiTheme="minorHAnsi" w:hAnsiTheme="minorHAnsi" w:cstheme="minorHAnsi"/>
                <w:i/>
                <w:iCs/>
                <w:sz w:val="22"/>
                <w:szCs w:val="22"/>
              </w:rPr>
              <w:t>lijn</w:t>
            </w:r>
            <w:proofErr w:type="spellEnd"/>
            <w:r w:rsidRPr="00BC5D73">
              <w:rPr>
                <w:rFonts w:asciiTheme="minorHAnsi" w:hAnsiTheme="minorHAnsi" w:cstheme="minorHAnsi"/>
                <w:i/>
                <w:iCs/>
                <w:sz w:val="22"/>
                <w:szCs w:val="22"/>
              </w:rPr>
              <w:t xml:space="preserve"> met de </w:t>
            </w:r>
            <w:proofErr w:type="spellStart"/>
            <w:r w:rsidRPr="00BC5D73">
              <w:rPr>
                <w:rFonts w:asciiTheme="minorHAnsi" w:hAnsiTheme="minorHAnsi" w:cstheme="minorHAnsi"/>
                <w:i/>
                <w:iCs/>
                <w:sz w:val="22"/>
                <w:szCs w:val="22"/>
              </w:rPr>
              <w:t>richtlijnen</w:t>
            </w:r>
            <w:proofErr w:type="spellEnd"/>
            <w:r w:rsidRPr="00BC5D73">
              <w:rPr>
                <w:rFonts w:asciiTheme="minorHAnsi" w:hAnsiTheme="minorHAnsi" w:cstheme="minorHAnsi"/>
                <w:i/>
                <w:iCs/>
                <w:sz w:val="22"/>
                <w:szCs w:val="22"/>
              </w:rPr>
              <w:t xml:space="preserve"> van de </w:t>
            </w:r>
            <w:proofErr w:type="spellStart"/>
            <w:r w:rsidRPr="00BC5D73">
              <w:rPr>
                <w:rFonts w:asciiTheme="minorHAnsi" w:hAnsiTheme="minorHAnsi" w:cstheme="minorHAnsi"/>
                <w:i/>
                <w:iCs/>
                <w:sz w:val="22"/>
                <w:szCs w:val="22"/>
              </w:rPr>
              <w:t>Europese</w:t>
            </w:r>
            <w:proofErr w:type="spellEnd"/>
            <w:r w:rsidRPr="00BC5D73">
              <w:rPr>
                <w:rFonts w:asciiTheme="minorHAnsi" w:hAnsiTheme="minorHAnsi" w:cstheme="minorHAnsi"/>
                <w:i/>
                <w:iCs/>
                <w:sz w:val="22"/>
                <w:szCs w:val="22"/>
              </w:rPr>
              <w:t xml:space="preserve"> </w:t>
            </w:r>
            <w:proofErr w:type="spellStart"/>
            <w:r w:rsidRPr="00BC5D73">
              <w:rPr>
                <w:rFonts w:asciiTheme="minorHAnsi" w:hAnsiTheme="minorHAnsi" w:cstheme="minorHAnsi"/>
                <w:i/>
                <w:iCs/>
                <w:sz w:val="22"/>
                <w:szCs w:val="22"/>
              </w:rPr>
              <w:t>commissie</w:t>
            </w:r>
            <w:proofErr w:type="spellEnd"/>
            <w:r w:rsidRPr="00BC5D73">
              <w:rPr>
                <w:rFonts w:asciiTheme="minorHAnsi" w:hAnsiTheme="minorHAnsi" w:cstheme="minorHAnsi"/>
                <w:i/>
                <w:iCs/>
                <w:sz w:val="22"/>
                <w:szCs w:val="22"/>
              </w:rPr>
              <w:t xml:space="preserve"> op het </w:t>
            </w:r>
            <w:proofErr w:type="spellStart"/>
            <w:r w:rsidRPr="00BC5D73">
              <w:rPr>
                <w:rFonts w:asciiTheme="minorHAnsi" w:hAnsiTheme="minorHAnsi" w:cstheme="minorHAnsi"/>
                <w:i/>
                <w:iCs/>
                <w:sz w:val="22"/>
                <w:szCs w:val="22"/>
              </w:rPr>
              <w:t>vlak</w:t>
            </w:r>
            <w:proofErr w:type="spellEnd"/>
            <w:r w:rsidRPr="00BC5D73">
              <w:rPr>
                <w:rFonts w:asciiTheme="minorHAnsi" w:hAnsiTheme="minorHAnsi" w:cstheme="minorHAnsi"/>
                <w:i/>
                <w:iCs/>
                <w:sz w:val="22"/>
                <w:szCs w:val="22"/>
              </w:rPr>
              <w:t xml:space="preserve"> van “Do no significant Harm” </w:t>
            </w:r>
            <w:proofErr w:type="spellStart"/>
            <w:r w:rsidRPr="00BC5D73">
              <w:rPr>
                <w:rFonts w:asciiTheme="minorHAnsi" w:hAnsiTheme="minorHAnsi" w:cstheme="minorHAnsi"/>
                <w:i/>
                <w:iCs/>
                <w:sz w:val="22"/>
                <w:szCs w:val="22"/>
              </w:rPr>
              <w:t>zoals</w:t>
            </w:r>
            <w:proofErr w:type="spellEnd"/>
            <w:r w:rsidRPr="00BC5D73">
              <w:rPr>
                <w:rFonts w:asciiTheme="minorHAnsi" w:hAnsiTheme="minorHAnsi" w:cstheme="minorHAnsi"/>
                <w:i/>
                <w:iCs/>
                <w:sz w:val="22"/>
                <w:szCs w:val="22"/>
              </w:rPr>
              <w:t xml:space="preserve"> </w:t>
            </w:r>
            <w:proofErr w:type="spellStart"/>
            <w:r w:rsidRPr="00BC5D73">
              <w:rPr>
                <w:rFonts w:asciiTheme="minorHAnsi" w:hAnsiTheme="minorHAnsi" w:cstheme="minorHAnsi"/>
                <w:i/>
                <w:iCs/>
                <w:sz w:val="22"/>
                <w:szCs w:val="22"/>
              </w:rPr>
              <w:t>beschreven</w:t>
            </w:r>
            <w:proofErr w:type="spellEnd"/>
            <w:r w:rsidRPr="00BC5D73">
              <w:rPr>
                <w:rFonts w:asciiTheme="minorHAnsi" w:hAnsiTheme="minorHAnsi" w:cstheme="minorHAnsi"/>
                <w:i/>
                <w:iCs/>
                <w:sz w:val="22"/>
                <w:szCs w:val="22"/>
              </w:rPr>
              <w:t xml:space="preserve"> i</w:t>
            </w:r>
            <w:r w:rsidRPr="00BC5D73">
              <w:rPr>
                <w:rFonts w:asciiTheme="minorHAnsi" w:hAnsiTheme="minorHAnsi" w:cstheme="minorHAnsi"/>
                <w:i/>
                <w:iCs/>
                <w:color w:val="auto"/>
                <w:sz w:val="22"/>
                <w:szCs w:val="22"/>
              </w:rPr>
              <w:t xml:space="preserve">n de “Technical guidance on the application of “do no significant harm” under the Recovery and Resilience Facility Regulation”. </w:t>
            </w:r>
            <w:r w:rsidRPr="00BC5D73">
              <w:rPr>
                <w:rFonts w:asciiTheme="minorHAnsi" w:hAnsiTheme="minorHAnsi" w:cstheme="minorHAnsi"/>
                <w:i/>
                <w:iCs/>
                <w:color w:val="auto"/>
                <w:sz w:val="22"/>
                <w:szCs w:val="22"/>
                <w:lang w:val="nl-BE"/>
              </w:rPr>
              <w:t xml:space="preserve">Deze vereiste wordt opgelegd aan projecten die gefinancierd worden in het kader van het Europees herstelplan. Hierbij wordt opgelegd dat gesteunde projecten niet </w:t>
            </w:r>
            <w:r w:rsidRPr="00BC5D73">
              <w:rPr>
                <w:rFonts w:asciiTheme="minorHAnsi" w:hAnsiTheme="minorHAnsi" w:cstheme="minorHAnsi"/>
                <w:i/>
                <w:iCs/>
                <w:sz w:val="22"/>
                <w:szCs w:val="22"/>
                <w:lang w:val="nl-BE"/>
              </w:rPr>
              <w:t xml:space="preserve">mogen leiden tot significante schade aan volgende milieudoelstellingen: </w:t>
            </w:r>
          </w:p>
          <w:p w14:paraId="5AEF3239" w14:textId="77777777" w:rsidR="00BC5D73" w:rsidRPr="00BC5D73" w:rsidRDefault="00BC5D73" w:rsidP="00657C33">
            <w:pPr>
              <w:autoSpaceDE w:val="0"/>
              <w:autoSpaceDN w:val="0"/>
              <w:adjustRightInd w:val="0"/>
              <w:spacing w:after="19"/>
              <w:ind w:left="708"/>
              <w:rPr>
                <w:rFonts w:cstheme="minorHAnsi"/>
                <w:i/>
                <w:iCs/>
                <w:color w:val="000000"/>
                <w:lang w:val="nl-BE"/>
              </w:rPr>
            </w:pPr>
            <w:r w:rsidRPr="00BC5D73">
              <w:rPr>
                <w:rFonts w:cstheme="minorHAnsi"/>
                <w:i/>
                <w:iCs/>
                <w:color w:val="000000"/>
                <w:lang w:val="nl-BE"/>
              </w:rPr>
              <w:t xml:space="preserve">1. Beperking van klimaatverandering </w:t>
            </w:r>
          </w:p>
          <w:p w14:paraId="256694EB" w14:textId="77777777" w:rsidR="00BC5D73" w:rsidRPr="00BC5D73" w:rsidRDefault="00BC5D73" w:rsidP="00657C33">
            <w:pPr>
              <w:autoSpaceDE w:val="0"/>
              <w:autoSpaceDN w:val="0"/>
              <w:adjustRightInd w:val="0"/>
              <w:spacing w:after="19"/>
              <w:ind w:left="708"/>
              <w:rPr>
                <w:rFonts w:cstheme="minorHAnsi"/>
                <w:i/>
                <w:iCs/>
                <w:color w:val="000000"/>
                <w:lang w:val="nl-BE"/>
              </w:rPr>
            </w:pPr>
            <w:r w:rsidRPr="00BC5D73">
              <w:rPr>
                <w:rFonts w:cstheme="minorHAnsi"/>
                <w:i/>
                <w:iCs/>
                <w:color w:val="000000"/>
                <w:lang w:val="nl-BE"/>
              </w:rPr>
              <w:t xml:space="preserve">2. Aanpassing aan klimaatverandering </w:t>
            </w:r>
          </w:p>
          <w:p w14:paraId="6B6BB789" w14:textId="77777777" w:rsidR="00BC5D73" w:rsidRPr="00BC5D73" w:rsidRDefault="00BC5D73" w:rsidP="00657C33">
            <w:pPr>
              <w:autoSpaceDE w:val="0"/>
              <w:autoSpaceDN w:val="0"/>
              <w:adjustRightInd w:val="0"/>
              <w:ind w:left="708"/>
              <w:rPr>
                <w:rFonts w:cstheme="minorHAnsi"/>
                <w:i/>
                <w:iCs/>
                <w:color w:val="000000"/>
                <w:lang w:val="nl-BE"/>
              </w:rPr>
            </w:pPr>
            <w:r w:rsidRPr="00BC5D73">
              <w:rPr>
                <w:rFonts w:cstheme="minorHAnsi"/>
                <w:i/>
                <w:iCs/>
                <w:color w:val="000000"/>
                <w:lang w:val="nl-BE"/>
              </w:rPr>
              <w:t xml:space="preserve">3. Duurzaam gebruik en bescherming van water en mariene hulpbronnen </w:t>
            </w:r>
          </w:p>
          <w:p w14:paraId="23A5C772" w14:textId="77777777" w:rsidR="00BC5D73" w:rsidRPr="00BC5D73" w:rsidRDefault="00BC5D73" w:rsidP="00657C33">
            <w:pPr>
              <w:autoSpaceDE w:val="0"/>
              <w:autoSpaceDN w:val="0"/>
              <w:adjustRightInd w:val="0"/>
              <w:spacing w:after="32"/>
              <w:ind w:left="708"/>
              <w:rPr>
                <w:rFonts w:cstheme="minorHAnsi"/>
                <w:i/>
                <w:iCs/>
                <w:lang w:val="nl-BE"/>
              </w:rPr>
            </w:pPr>
            <w:r w:rsidRPr="00BC5D73">
              <w:rPr>
                <w:rFonts w:cstheme="minorHAnsi"/>
                <w:i/>
                <w:iCs/>
                <w:lang w:val="nl-BE"/>
              </w:rPr>
              <w:t xml:space="preserve">4. De circulaire economie, met inbegrip van afvalpreventie en recyclage </w:t>
            </w:r>
          </w:p>
          <w:p w14:paraId="29E12174" w14:textId="77777777" w:rsidR="00BC5D73" w:rsidRPr="00BC5D73" w:rsidRDefault="00BC5D73" w:rsidP="00657C33">
            <w:pPr>
              <w:autoSpaceDE w:val="0"/>
              <w:autoSpaceDN w:val="0"/>
              <w:adjustRightInd w:val="0"/>
              <w:spacing w:after="32"/>
              <w:ind w:left="708"/>
              <w:rPr>
                <w:rFonts w:cstheme="minorHAnsi"/>
                <w:i/>
                <w:iCs/>
                <w:lang w:val="nl-BE"/>
              </w:rPr>
            </w:pPr>
            <w:r w:rsidRPr="00BC5D73">
              <w:rPr>
                <w:rFonts w:cstheme="minorHAnsi"/>
                <w:i/>
                <w:iCs/>
                <w:lang w:val="nl-BE"/>
              </w:rPr>
              <w:t xml:space="preserve">5. Preventie en beheersing van lucht-, water- of bodemverontreiniging </w:t>
            </w:r>
          </w:p>
          <w:p w14:paraId="3CCD2C18" w14:textId="77777777" w:rsidR="00BC5D73" w:rsidRPr="00BC5D73" w:rsidRDefault="00BC5D73" w:rsidP="00657C33">
            <w:pPr>
              <w:autoSpaceDE w:val="0"/>
              <w:autoSpaceDN w:val="0"/>
              <w:adjustRightInd w:val="0"/>
              <w:ind w:left="708"/>
              <w:rPr>
                <w:rFonts w:cstheme="minorHAnsi"/>
                <w:lang w:val="nl-BE"/>
              </w:rPr>
            </w:pPr>
            <w:r w:rsidRPr="00BC5D73">
              <w:rPr>
                <w:rFonts w:cstheme="minorHAnsi"/>
                <w:i/>
                <w:iCs/>
                <w:lang w:val="nl-BE"/>
              </w:rPr>
              <w:t xml:space="preserve">6. Bescherming en herstel van biodiversiteit en ecosystemen </w:t>
            </w:r>
          </w:p>
          <w:p w14:paraId="3437DDBB" w14:textId="26215D1A" w:rsidR="0034434C" w:rsidRPr="00FA6AC8" w:rsidRDefault="00492C34" w:rsidP="00D01698">
            <w:pPr>
              <w:rPr>
                <w:rFonts w:cstheme="minorHAnsi"/>
                <w:lang w:val="nl-BE"/>
              </w:rPr>
            </w:pPr>
            <w:r w:rsidRPr="00FA6AC8">
              <w:rPr>
                <w:rFonts w:cstheme="minorHAnsi"/>
                <w:lang w:val="nl-BE"/>
              </w:rPr>
              <w:t xml:space="preserve"> </w:t>
            </w:r>
          </w:p>
          <w:p w14:paraId="11725B0A" w14:textId="2D9A855E" w:rsidR="00492C34" w:rsidRDefault="640D5AFE" w:rsidP="0CEE359B">
            <w:r w:rsidRPr="0CEE359B">
              <w:rPr>
                <w:lang w:val="en-US"/>
              </w:rPr>
              <w:t xml:space="preserve">The template included in </w:t>
            </w:r>
            <w:r w:rsidR="2287312F" w:rsidRPr="0CEE359B">
              <w:rPr>
                <w:u w:val="single"/>
                <w:lang w:val="en-US"/>
              </w:rPr>
              <w:t xml:space="preserve">Annex </w:t>
            </w:r>
            <w:r w:rsidR="018FB6EA" w:rsidRPr="0CEE359B">
              <w:rPr>
                <w:u w:val="single"/>
                <w:lang w:val="en-US"/>
              </w:rPr>
              <w:t>3</w:t>
            </w:r>
            <w:r w:rsidR="39A1DAEF" w:rsidRPr="0CEE359B">
              <w:rPr>
                <w:u w:val="single"/>
                <w:lang w:val="en-US"/>
              </w:rPr>
              <w:t>c.</w:t>
            </w:r>
            <w:r w:rsidR="2287312F" w:rsidRPr="0CEE359B">
              <w:rPr>
                <w:u w:val="single"/>
                <w:lang w:val="en-US"/>
              </w:rPr>
              <w:t xml:space="preserve"> Onderzoeksinfrastructuur </w:t>
            </w:r>
            <w:proofErr w:type="spellStart"/>
            <w:r w:rsidR="2287312F" w:rsidRPr="0CEE359B">
              <w:rPr>
                <w:u w:val="single"/>
                <w:lang w:val="en-US"/>
              </w:rPr>
              <w:t>Hogescholen</w:t>
            </w:r>
            <w:proofErr w:type="spellEnd"/>
            <w:r w:rsidR="2287312F" w:rsidRPr="0CEE359B">
              <w:rPr>
                <w:u w:val="single"/>
                <w:lang w:val="en-US"/>
              </w:rPr>
              <w:t xml:space="preserve"> - </w:t>
            </w:r>
            <w:proofErr w:type="spellStart"/>
            <w:r w:rsidR="2287312F" w:rsidRPr="0CEE359B">
              <w:rPr>
                <w:u w:val="single"/>
                <w:lang w:val="en-US"/>
              </w:rPr>
              <w:t>Sjabloon</w:t>
            </w:r>
            <w:proofErr w:type="spellEnd"/>
            <w:r w:rsidR="2287312F" w:rsidRPr="0CEE359B">
              <w:rPr>
                <w:u w:val="single"/>
                <w:lang w:val="en-US"/>
              </w:rPr>
              <w:t xml:space="preserve"> DNSH-analye_OIHS_2021</w:t>
            </w:r>
            <w:r w:rsidR="5BEE0386" w:rsidRPr="0CEE359B">
              <w:rPr>
                <w:lang w:val="en-US"/>
              </w:rPr>
              <w:t xml:space="preserve"> had to be used by the applicants of the projects </w:t>
            </w:r>
            <w:r w:rsidR="795B29B2" w:rsidRPr="0CEE359B">
              <w:rPr>
                <w:lang w:val="en-US"/>
              </w:rPr>
              <w:t>to demonstrate that the projects were DNSH-compliant</w:t>
            </w:r>
            <w:r w:rsidRPr="0CEE359B">
              <w:rPr>
                <w:lang w:val="en-US"/>
              </w:rPr>
              <w:t>.</w:t>
            </w:r>
            <w:r w:rsidR="729C8A7B" w:rsidRPr="0CEE359B">
              <w:rPr>
                <w:lang w:val="en-US"/>
              </w:rPr>
              <w:t xml:space="preserve"> This is also demonstrated in </w:t>
            </w:r>
            <w:r w:rsidR="729C8A7B" w:rsidRPr="0CEE359B">
              <w:rPr>
                <w:u w:val="single"/>
              </w:rPr>
              <w:t>Annex 3g. MB_Bijlage_2_aanvraagformulier_OIHS_2021_getekend</w:t>
            </w:r>
            <w:r w:rsidR="729C8A7B" w:rsidRPr="0CEE359B">
              <w:rPr>
                <w:sz w:val="24"/>
                <w:szCs w:val="24"/>
              </w:rPr>
              <w:t>.</w:t>
            </w:r>
          </w:p>
          <w:p w14:paraId="649EF59D" w14:textId="77777777" w:rsidR="00BF1FED" w:rsidRDefault="00BF1FED" w:rsidP="00D01698">
            <w:pPr>
              <w:rPr>
                <w:rFonts w:cstheme="minorHAnsi"/>
              </w:rPr>
            </w:pPr>
          </w:p>
          <w:p w14:paraId="5F2C07A8" w14:textId="45B005E1" w:rsidR="004B6AC8" w:rsidRDefault="004B6AC8" w:rsidP="004B6AC8">
            <w:pPr>
              <w:jc w:val="both"/>
            </w:pPr>
            <w:r>
              <w:t xml:space="preserve">The communication to the applicants after approval of the projects included the following condition regarding DNSH: </w:t>
            </w:r>
          </w:p>
          <w:p w14:paraId="0479FE5F" w14:textId="77777777" w:rsidR="00BF1FED" w:rsidRDefault="00BF1FED" w:rsidP="00D01698">
            <w:pPr>
              <w:rPr>
                <w:rFonts w:cstheme="minorHAnsi"/>
              </w:rPr>
            </w:pPr>
          </w:p>
          <w:p w14:paraId="1EA4A1B7" w14:textId="77777777" w:rsidR="004B6AC8" w:rsidRDefault="004B6AC8" w:rsidP="00D01698">
            <w:pPr>
              <w:rPr>
                <w:rFonts w:cstheme="minorHAnsi"/>
                <w:i/>
                <w:iCs/>
                <w:lang w:val="nl-BE"/>
              </w:rPr>
            </w:pPr>
            <w:r w:rsidRPr="004B6AC8">
              <w:rPr>
                <w:rFonts w:cstheme="minorHAnsi"/>
                <w:i/>
                <w:iCs/>
                <w:lang w:val="nl-BE"/>
              </w:rPr>
              <w:t xml:space="preserve">Aangezien deze subsidie toegekend wordt in het kader van het Relanceplan-Vlaamse Veerkracht, wordt benadrukt dat, gelet op de technische richtsnoeren inzake “geen ernstige afbreuk doen” (2021/C58/01), volgende activiteiten zijn uitgesloten: </w:t>
            </w:r>
          </w:p>
          <w:p w14:paraId="2AE501FB" w14:textId="77777777" w:rsidR="004B6AC8" w:rsidRDefault="004B6AC8" w:rsidP="00D01698">
            <w:pPr>
              <w:rPr>
                <w:rFonts w:cstheme="minorHAnsi"/>
                <w:i/>
                <w:iCs/>
                <w:lang w:val="nl-BE"/>
              </w:rPr>
            </w:pPr>
            <w:r w:rsidRPr="004B6AC8">
              <w:rPr>
                <w:rFonts w:cstheme="minorHAnsi"/>
                <w:i/>
                <w:iCs/>
                <w:lang w:val="nl-BE"/>
              </w:rPr>
              <w:t xml:space="preserve">i) activiteiten met betrekking tot fossiele brandstoffen, inclusief het downstreamgebruik daarvan; ii) activiteiten in het kader van het EU-emissiehandelssysteem waarin geraamde broeikasgasemissies worden gerealiseerd die niet lager liggen dan de desbetreffende benchmarks[1]; </w:t>
            </w:r>
          </w:p>
          <w:p w14:paraId="1C2355C6" w14:textId="77777777" w:rsidR="00194E91" w:rsidRDefault="004B6AC8" w:rsidP="00D01698">
            <w:pPr>
              <w:rPr>
                <w:rFonts w:cstheme="minorHAnsi"/>
                <w:i/>
                <w:iCs/>
                <w:lang w:val="nl-BE"/>
              </w:rPr>
            </w:pPr>
            <w:r w:rsidRPr="004B6AC8">
              <w:rPr>
                <w:rFonts w:cstheme="minorHAnsi"/>
                <w:i/>
                <w:iCs/>
                <w:lang w:val="nl-BE"/>
              </w:rPr>
              <w:t xml:space="preserve">iii) activiteiten met betrekking tot </w:t>
            </w:r>
            <w:proofErr w:type="spellStart"/>
            <w:r w:rsidRPr="004B6AC8">
              <w:rPr>
                <w:rFonts w:cstheme="minorHAnsi"/>
                <w:i/>
                <w:iCs/>
                <w:lang w:val="nl-BE"/>
              </w:rPr>
              <w:t>stortplaatsen,verbrandingsinstallaties</w:t>
            </w:r>
            <w:proofErr w:type="spellEnd"/>
            <w:r w:rsidRPr="004B6AC8">
              <w:rPr>
                <w:rFonts w:cstheme="minorHAnsi"/>
                <w:i/>
                <w:iCs/>
                <w:lang w:val="nl-BE"/>
              </w:rPr>
              <w:t xml:space="preserve">[2] en mechanische biologische afvalverwerkingsinstallaties[3]; en </w:t>
            </w:r>
          </w:p>
          <w:p w14:paraId="2CDC0663" w14:textId="77777777" w:rsidR="00845705" w:rsidRDefault="004B6AC8" w:rsidP="00D01698">
            <w:pPr>
              <w:rPr>
                <w:rFonts w:cstheme="minorHAnsi"/>
                <w:i/>
                <w:iCs/>
                <w:lang w:val="nl-BE"/>
              </w:rPr>
            </w:pPr>
            <w:r w:rsidRPr="004B6AC8">
              <w:rPr>
                <w:rFonts w:cstheme="minorHAnsi"/>
                <w:i/>
                <w:iCs/>
                <w:lang w:val="nl-BE"/>
              </w:rPr>
              <w:t xml:space="preserve">iv)activiteiten waarin de verwijdering van afval op lange termijn schade kan berokkenen aan het milieu. </w:t>
            </w:r>
          </w:p>
          <w:p w14:paraId="3112D426" w14:textId="77777777" w:rsidR="00845705" w:rsidRDefault="00845705" w:rsidP="00D01698">
            <w:pPr>
              <w:rPr>
                <w:rFonts w:cstheme="minorHAnsi"/>
                <w:i/>
                <w:iCs/>
                <w:lang w:val="nl-BE"/>
              </w:rPr>
            </w:pPr>
          </w:p>
          <w:p w14:paraId="483C932C" w14:textId="0FEDCE5F" w:rsidR="004B6AC8" w:rsidRPr="004B6AC8" w:rsidRDefault="004B6AC8" w:rsidP="00D01698">
            <w:pPr>
              <w:rPr>
                <w:rFonts w:cstheme="minorHAnsi"/>
                <w:i/>
                <w:iCs/>
                <w:lang w:val="nl-BE"/>
              </w:rPr>
            </w:pPr>
            <w:r w:rsidRPr="004B6AC8">
              <w:rPr>
                <w:rFonts w:cstheme="minorHAnsi"/>
                <w:i/>
                <w:iCs/>
                <w:lang w:val="nl-BE"/>
              </w:rPr>
              <w:t>Daarenboven mogen enkel activiteiten die de relevante EU- en nationale wetgeving naleven.</w:t>
            </w:r>
          </w:p>
          <w:p w14:paraId="10FD4FC0" w14:textId="77777777" w:rsidR="00492C34" w:rsidRPr="004B6AC8" w:rsidRDefault="00492C34" w:rsidP="00D01698">
            <w:pPr>
              <w:rPr>
                <w:rFonts w:cstheme="minorHAnsi"/>
                <w:i/>
                <w:iCs/>
                <w:lang w:val="nl-BE"/>
              </w:rPr>
            </w:pPr>
          </w:p>
          <w:p w14:paraId="60E7BD52" w14:textId="7E36C22A" w:rsidR="00CA5115" w:rsidRPr="00A40BBA" w:rsidRDefault="00A40BBA" w:rsidP="00CA5115">
            <w:pPr>
              <w:rPr>
                <w:rFonts w:cstheme="minorHAnsi"/>
                <w:i/>
                <w:iCs/>
                <w:u w:val="single"/>
                <w:lang w:val="nl-BE"/>
              </w:rPr>
            </w:pPr>
            <w:r w:rsidRPr="00A40BBA">
              <w:rPr>
                <w:rFonts w:cstheme="minorHAnsi"/>
                <w:i/>
                <w:iCs/>
                <w:u w:val="single"/>
                <w:lang w:val="nl-BE"/>
              </w:rPr>
              <w:t xml:space="preserve">c) </w:t>
            </w:r>
            <w:r w:rsidR="00CA5115" w:rsidRPr="00A40BBA">
              <w:rPr>
                <w:rFonts w:cstheme="minorHAnsi"/>
                <w:i/>
                <w:iCs/>
                <w:u w:val="single"/>
                <w:lang w:val="nl-BE"/>
              </w:rPr>
              <w:t>Oproep Onderzoeksinfrastructuur hogescholen (OI.HS) 2022</w:t>
            </w:r>
          </w:p>
          <w:p w14:paraId="564CF1DE" w14:textId="77777777" w:rsidR="00CA5115" w:rsidRDefault="00CA5115" w:rsidP="00685CD4">
            <w:pPr>
              <w:jc w:val="both"/>
              <w:rPr>
                <w:rFonts w:cstheme="minorHAnsi"/>
                <w:lang w:val="nl-BE"/>
              </w:rPr>
            </w:pPr>
          </w:p>
          <w:p w14:paraId="16051683" w14:textId="619C2EC9" w:rsidR="00D60FF1" w:rsidRPr="007F4AB1" w:rsidRDefault="21B3E690" w:rsidP="0CEE359B">
            <w:pPr>
              <w:rPr>
                <w:i/>
                <w:iCs/>
                <w:lang w:val="nl-BE"/>
              </w:rPr>
            </w:pPr>
            <w:r w:rsidRPr="0CEE359B">
              <w:rPr>
                <w:lang w:val="nl-BE"/>
              </w:rPr>
              <w:t xml:space="preserve">For </w:t>
            </w:r>
            <w:proofErr w:type="spellStart"/>
            <w:r w:rsidRPr="0CEE359B">
              <w:rPr>
                <w:lang w:val="nl-BE"/>
              </w:rPr>
              <w:t>the</w:t>
            </w:r>
            <w:proofErr w:type="spellEnd"/>
            <w:r w:rsidRPr="0CEE359B">
              <w:rPr>
                <w:lang w:val="nl-BE"/>
              </w:rPr>
              <w:t xml:space="preserve"> </w:t>
            </w:r>
            <w:r w:rsidRPr="0CEE359B">
              <w:rPr>
                <w:i/>
                <w:iCs/>
                <w:lang w:val="nl-BE"/>
              </w:rPr>
              <w:t>Oproep Onderzoeksinfrastructuur hogescholen (OI.HS) 2022</w:t>
            </w:r>
            <w:r w:rsidR="3A759861" w:rsidRPr="0CEE359B">
              <w:rPr>
                <w:i/>
                <w:iCs/>
                <w:lang w:val="nl-BE"/>
              </w:rPr>
              <w:t xml:space="preserve"> </w:t>
            </w:r>
            <w:proofErr w:type="spellStart"/>
            <w:r w:rsidR="2DF9A133" w:rsidRPr="0CEE359B">
              <w:rPr>
                <w:lang w:val="nl-BE"/>
              </w:rPr>
              <w:t>the</w:t>
            </w:r>
            <w:proofErr w:type="spellEnd"/>
            <w:r w:rsidR="2DF9A133" w:rsidRPr="0CEE359B">
              <w:rPr>
                <w:lang w:val="nl-BE"/>
              </w:rPr>
              <w:t xml:space="preserve"> </w:t>
            </w:r>
            <w:proofErr w:type="spellStart"/>
            <w:r w:rsidR="2DF9A133" w:rsidRPr="0CEE359B">
              <w:rPr>
                <w:lang w:val="nl-BE"/>
              </w:rPr>
              <w:t>same</w:t>
            </w:r>
            <w:proofErr w:type="spellEnd"/>
            <w:r w:rsidR="2DF9A133" w:rsidRPr="0CEE359B">
              <w:rPr>
                <w:lang w:val="nl-BE"/>
              </w:rPr>
              <w:t xml:space="preserve"> procedure was </w:t>
            </w:r>
            <w:proofErr w:type="spellStart"/>
            <w:r w:rsidR="2DF9A133" w:rsidRPr="0CEE359B">
              <w:rPr>
                <w:lang w:val="nl-BE"/>
              </w:rPr>
              <w:t>used</w:t>
            </w:r>
            <w:proofErr w:type="spellEnd"/>
            <w:r w:rsidR="2DF9A133" w:rsidRPr="0CEE359B">
              <w:rPr>
                <w:lang w:val="nl-BE"/>
              </w:rPr>
              <w:t xml:space="preserve"> as </w:t>
            </w:r>
            <w:proofErr w:type="spellStart"/>
            <w:r w:rsidR="02C1B4C9" w:rsidRPr="0CEE359B">
              <w:rPr>
                <w:lang w:val="nl-BE"/>
              </w:rPr>
              <w:t>fo</w:t>
            </w:r>
            <w:r w:rsidR="02C1B4C9" w:rsidRPr="00DD6071">
              <w:rPr>
                <w:lang w:val="nl-BE"/>
              </w:rPr>
              <w:t>r</w:t>
            </w:r>
            <w:proofErr w:type="spellEnd"/>
            <w:r w:rsidR="02C1B4C9" w:rsidRPr="00DD6071">
              <w:rPr>
                <w:lang w:val="nl-BE"/>
              </w:rPr>
              <w:t xml:space="preserve"> </w:t>
            </w:r>
            <w:r w:rsidR="02C1B4C9" w:rsidRPr="0CEE359B">
              <w:rPr>
                <w:i/>
                <w:iCs/>
                <w:lang w:val="nl-BE"/>
              </w:rPr>
              <w:t>Oproep Onderzoeksinfrastructuur hogescholen (OI.HS) 2021</w:t>
            </w:r>
            <w:r w:rsidR="04011C46" w:rsidRPr="0CEE359B">
              <w:rPr>
                <w:lang w:val="nl-BE"/>
              </w:rPr>
              <w:t xml:space="preserve">. </w:t>
            </w:r>
          </w:p>
          <w:p w14:paraId="6189E263" w14:textId="77777777" w:rsidR="002B4B8B" w:rsidRPr="00D60FF1" w:rsidRDefault="002B4B8B" w:rsidP="00685CD4">
            <w:pPr>
              <w:jc w:val="both"/>
              <w:rPr>
                <w:rFonts w:cstheme="minorHAnsi"/>
                <w:lang w:val="nl-BE"/>
              </w:rPr>
            </w:pPr>
          </w:p>
          <w:p w14:paraId="13454E54" w14:textId="53C37883" w:rsidR="001F77A8" w:rsidRPr="00A40BBA" w:rsidRDefault="00A40BBA" w:rsidP="001F77A8">
            <w:pPr>
              <w:jc w:val="both"/>
              <w:rPr>
                <w:rFonts w:cstheme="minorHAnsi"/>
                <w:bCs/>
                <w:u w:val="single"/>
              </w:rPr>
            </w:pPr>
            <w:r w:rsidRPr="00A40BBA">
              <w:rPr>
                <w:rFonts w:cstheme="minorHAnsi"/>
                <w:u w:val="single"/>
              </w:rPr>
              <w:t xml:space="preserve">d) </w:t>
            </w:r>
            <w:r w:rsidR="001F77A8" w:rsidRPr="00A40BBA">
              <w:rPr>
                <w:rFonts w:cstheme="minorHAnsi"/>
                <w:u w:val="single"/>
              </w:rPr>
              <w:t>DIGITAL-2021-CLOUD-AI-01 (project VV023/11)</w:t>
            </w:r>
          </w:p>
          <w:p w14:paraId="624885E3" w14:textId="77777777" w:rsidR="001F77A8" w:rsidRPr="00FA6AC8" w:rsidRDefault="001F77A8" w:rsidP="00685CD4">
            <w:pPr>
              <w:jc w:val="both"/>
              <w:rPr>
                <w:rFonts w:cstheme="minorHAnsi"/>
              </w:rPr>
            </w:pPr>
          </w:p>
          <w:p w14:paraId="23938449" w14:textId="3F5AF5C9" w:rsidR="00027646" w:rsidRPr="00FA6AC8" w:rsidRDefault="003D1481" w:rsidP="00027646">
            <w:pPr>
              <w:jc w:val="both"/>
              <w:rPr>
                <w:rFonts w:cstheme="minorHAnsi"/>
              </w:rPr>
            </w:pPr>
            <w:r w:rsidRPr="003D1481">
              <w:rPr>
                <w:rFonts w:cstheme="minorHAnsi"/>
              </w:rPr>
              <w:t>Since the call for projects was a call from the EC, there was no possibility to include specific DNSH conditions in the call documents.</w:t>
            </w:r>
            <w:r>
              <w:rPr>
                <w:rFonts w:cstheme="minorHAnsi"/>
              </w:rPr>
              <w:t xml:space="preserve"> </w:t>
            </w:r>
            <w:r w:rsidR="00027646" w:rsidRPr="00FA6AC8">
              <w:rPr>
                <w:rFonts w:cstheme="minorHAnsi"/>
              </w:rPr>
              <w:t xml:space="preserve">To ensure DNSH-compliance of project </w:t>
            </w:r>
            <w:r w:rsidR="009C53AE" w:rsidRPr="00FA6AC8">
              <w:rPr>
                <w:rFonts w:cstheme="minorHAnsi"/>
              </w:rPr>
              <w:t>VV023/11</w:t>
            </w:r>
            <w:r w:rsidR="00027646" w:rsidRPr="00FA6AC8">
              <w:rPr>
                <w:rFonts w:cstheme="minorHAnsi"/>
              </w:rPr>
              <w:t>, a DNSH assessment was requested in the project application for the co-financing</w:t>
            </w:r>
            <w:r w:rsidR="00661413" w:rsidRPr="00FA6AC8">
              <w:rPr>
                <w:rFonts w:cstheme="minorHAnsi"/>
              </w:rPr>
              <w:t xml:space="preserve"> </w:t>
            </w:r>
            <w:r>
              <w:rPr>
                <w:rFonts w:cstheme="minorHAnsi"/>
              </w:rPr>
              <w:t xml:space="preserve">of </w:t>
            </w:r>
            <w:r w:rsidR="00661413" w:rsidRPr="00FA6AC8">
              <w:rPr>
                <w:rFonts w:cstheme="minorHAnsi"/>
              </w:rPr>
              <w:t xml:space="preserve">project 101083307 — </w:t>
            </w:r>
            <w:r w:rsidR="00661413" w:rsidRPr="00FA6AC8">
              <w:rPr>
                <w:rFonts w:cstheme="minorHAnsi"/>
              </w:rPr>
              <w:lastRenderedPageBreak/>
              <w:t>PREVAIL</w:t>
            </w:r>
            <w:r w:rsidR="00027646" w:rsidRPr="00FA6AC8">
              <w:rPr>
                <w:rFonts w:cstheme="minorHAnsi"/>
              </w:rPr>
              <w:t xml:space="preserve"> and the following obligation was imposed on the beneficiary (IMEC) in the project agreement:</w:t>
            </w:r>
          </w:p>
          <w:p w14:paraId="6D46ABC6" w14:textId="77777777" w:rsidR="00027646" w:rsidRPr="00FA6AC8" w:rsidRDefault="00027646" w:rsidP="00027646">
            <w:pPr>
              <w:jc w:val="both"/>
              <w:rPr>
                <w:rFonts w:cstheme="minorHAnsi"/>
              </w:rPr>
            </w:pPr>
          </w:p>
          <w:p w14:paraId="5B575A5F" w14:textId="77777777" w:rsidR="00027646" w:rsidRPr="00F64361" w:rsidRDefault="00027646" w:rsidP="00027646">
            <w:pPr>
              <w:autoSpaceDE w:val="0"/>
              <w:autoSpaceDN w:val="0"/>
              <w:adjustRightInd w:val="0"/>
              <w:rPr>
                <w:rFonts w:cstheme="minorHAnsi"/>
                <w:i/>
                <w:iCs/>
                <w:color w:val="000000"/>
                <w:lang w:val="nl-BE"/>
              </w:rPr>
            </w:pPr>
            <w:r w:rsidRPr="00F64361">
              <w:rPr>
                <w:rFonts w:cstheme="minorHAnsi"/>
                <w:i/>
                <w:iCs/>
                <w:color w:val="000000"/>
                <w:lang w:val="nl-BE"/>
              </w:rPr>
              <w:t xml:space="preserve">5.6. DNSH-beginsel op het Nationaal Plan voor Herstel en Veerkracht </w:t>
            </w:r>
          </w:p>
          <w:p w14:paraId="4132E0DA" w14:textId="77777777" w:rsidR="00027646" w:rsidRPr="00F64361" w:rsidRDefault="00027646" w:rsidP="00027646">
            <w:pPr>
              <w:autoSpaceDE w:val="0"/>
              <w:autoSpaceDN w:val="0"/>
              <w:adjustRightInd w:val="0"/>
              <w:rPr>
                <w:rFonts w:cstheme="minorHAnsi"/>
                <w:i/>
                <w:iCs/>
                <w:color w:val="000000"/>
                <w:lang w:val="nl-BE"/>
              </w:rPr>
            </w:pPr>
            <w:r w:rsidRPr="00F64361">
              <w:rPr>
                <w:rFonts w:cstheme="minorHAnsi"/>
                <w:i/>
                <w:iCs/>
                <w:color w:val="000000"/>
                <w:lang w:val="nl-BE"/>
              </w:rPr>
              <w:t xml:space="preserve">In het kader van het Nationaal Plan voor Herstel en Veerkracht (PHV), vraagt de Europese Commissie dat geen enkele erin opgenomen maatregel voor de doorvoering van hervormingen en investeringsprojecten ernstig afbreuk mag doen aan zes milieudoelstellingen. Deze zes doelstellingen zijn (artikel 9): </w:t>
            </w:r>
          </w:p>
          <w:p w14:paraId="57E8EC14" w14:textId="77777777" w:rsidR="00027646" w:rsidRPr="00F64361" w:rsidRDefault="00027646" w:rsidP="00027646">
            <w:pPr>
              <w:autoSpaceDE w:val="0"/>
              <w:autoSpaceDN w:val="0"/>
              <w:adjustRightInd w:val="0"/>
              <w:spacing w:after="18"/>
              <w:ind w:left="459"/>
              <w:rPr>
                <w:rFonts w:cstheme="minorHAnsi"/>
                <w:i/>
                <w:iCs/>
                <w:color w:val="000000"/>
                <w:lang w:val="nl-BE"/>
              </w:rPr>
            </w:pPr>
            <w:r w:rsidRPr="00F64361">
              <w:rPr>
                <w:rFonts w:cstheme="minorHAnsi"/>
                <w:i/>
                <w:iCs/>
                <w:color w:val="000000"/>
                <w:lang w:val="nl-BE"/>
              </w:rPr>
              <w:t xml:space="preserve">1. De mitigatie van klimaatverandering; </w:t>
            </w:r>
          </w:p>
          <w:p w14:paraId="1DB58FCA" w14:textId="77777777" w:rsidR="00027646" w:rsidRPr="00F64361" w:rsidRDefault="00027646" w:rsidP="00027646">
            <w:pPr>
              <w:autoSpaceDE w:val="0"/>
              <w:autoSpaceDN w:val="0"/>
              <w:adjustRightInd w:val="0"/>
              <w:spacing w:after="18"/>
              <w:ind w:left="459"/>
              <w:rPr>
                <w:rFonts w:cstheme="minorHAnsi"/>
                <w:i/>
                <w:iCs/>
                <w:color w:val="000000"/>
                <w:lang w:val="nl-BE"/>
              </w:rPr>
            </w:pPr>
            <w:r w:rsidRPr="00F64361">
              <w:rPr>
                <w:rFonts w:cstheme="minorHAnsi"/>
                <w:i/>
                <w:iCs/>
                <w:color w:val="000000"/>
                <w:lang w:val="nl-BE"/>
              </w:rPr>
              <w:t xml:space="preserve">2. De adaptatie aan klimaatverandering; </w:t>
            </w:r>
          </w:p>
          <w:p w14:paraId="5959E7A9" w14:textId="77777777" w:rsidR="00027646" w:rsidRPr="00F64361" w:rsidRDefault="00027646" w:rsidP="00027646">
            <w:pPr>
              <w:autoSpaceDE w:val="0"/>
              <w:autoSpaceDN w:val="0"/>
              <w:adjustRightInd w:val="0"/>
              <w:spacing w:after="18"/>
              <w:ind w:left="459"/>
              <w:rPr>
                <w:rFonts w:cstheme="minorHAnsi"/>
                <w:i/>
                <w:iCs/>
                <w:color w:val="000000"/>
                <w:lang w:val="nl-BE"/>
              </w:rPr>
            </w:pPr>
            <w:r w:rsidRPr="00F64361">
              <w:rPr>
                <w:rFonts w:cstheme="minorHAnsi"/>
                <w:i/>
                <w:iCs/>
                <w:color w:val="000000"/>
                <w:lang w:val="nl-BE"/>
              </w:rPr>
              <w:t xml:space="preserve">3. Het duurzaam gebruik en de bescherming van water en mariene hulpbronnen; </w:t>
            </w:r>
          </w:p>
          <w:p w14:paraId="69192FD5" w14:textId="77777777" w:rsidR="00027646" w:rsidRPr="00F64361" w:rsidRDefault="00027646" w:rsidP="00027646">
            <w:pPr>
              <w:autoSpaceDE w:val="0"/>
              <w:autoSpaceDN w:val="0"/>
              <w:adjustRightInd w:val="0"/>
              <w:spacing w:after="18"/>
              <w:ind w:left="459"/>
              <w:rPr>
                <w:rFonts w:cstheme="minorHAnsi"/>
                <w:i/>
                <w:iCs/>
                <w:color w:val="000000"/>
                <w:lang w:val="nl-BE"/>
              </w:rPr>
            </w:pPr>
            <w:r w:rsidRPr="00F64361">
              <w:rPr>
                <w:rFonts w:cstheme="minorHAnsi"/>
                <w:i/>
                <w:iCs/>
                <w:color w:val="000000"/>
                <w:lang w:val="nl-BE"/>
              </w:rPr>
              <w:t xml:space="preserve">4. De transitie naar een circulaire economie; </w:t>
            </w:r>
          </w:p>
          <w:p w14:paraId="064CFEBC" w14:textId="77777777" w:rsidR="00027646" w:rsidRPr="00F64361" w:rsidRDefault="00027646" w:rsidP="00027646">
            <w:pPr>
              <w:autoSpaceDE w:val="0"/>
              <w:autoSpaceDN w:val="0"/>
              <w:adjustRightInd w:val="0"/>
              <w:spacing w:after="18"/>
              <w:ind w:left="459"/>
              <w:rPr>
                <w:rFonts w:cstheme="minorHAnsi"/>
                <w:i/>
                <w:iCs/>
                <w:color w:val="000000"/>
                <w:lang w:val="nl-BE"/>
              </w:rPr>
            </w:pPr>
            <w:r w:rsidRPr="00F64361">
              <w:rPr>
                <w:rFonts w:cstheme="minorHAnsi"/>
                <w:i/>
                <w:iCs/>
                <w:color w:val="000000"/>
                <w:lang w:val="nl-BE"/>
              </w:rPr>
              <w:t xml:space="preserve">5. De preventie en bestrijding van verontreiniging; </w:t>
            </w:r>
          </w:p>
          <w:p w14:paraId="52D52B8B" w14:textId="77777777" w:rsidR="00027646" w:rsidRPr="00FA6AC8" w:rsidRDefault="00027646" w:rsidP="00027646">
            <w:pPr>
              <w:autoSpaceDE w:val="0"/>
              <w:autoSpaceDN w:val="0"/>
              <w:adjustRightInd w:val="0"/>
              <w:ind w:left="459"/>
              <w:rPr>
                <w:rFonts w:cstheme="minorHAnsi"/>
                <w:i/>
                <w:iCs/>
                <w:color w:val="000000"/>
                <w:lang w:val="nl-BE"/>
              </w:rPr>
            </w:pPr>
            <w:r w:rsidRPr="00F64361">
              <w:rPr>
                <w:rFonts w:cstheme="minorHAnsi"/>
                <w:i/>
                <w:iCs/>
                <w:color w:val="000000"/>
                <w:lang w:val="nl-BE"/>
              </w:rPr>
              <w:t>6. De bescherming en het herstel van de biodiversiteit en ecosystemen.</w:t>
            </w:r>
          </w:p>
          <w:p w14:paraId="56F444A4" w14:textId="77777777" w:rsidR="00027646" w:rsidRPr="00F64361" w:rsidRDefault="00027646" w:rsidP="00027646">
            <w:pPr>
              <w:autoSpaceDE w:val="0"/>
              <w:autoSpaceDN w:val="0"/>
              <w:adjustRightInd w:val="0"/>
              <w:rPr>
                <w:rFonts w:cstheme="minorHAnsi"/>
                <w:i/>
                <w:iCs/>
                <w:color w:val="000000"/>
                <w:lang w:val="nl-BE"/>
              </w:rPr>
            </w:pPr>
            <w:r w:rsidRPr="00F64361">
              <w:rPr>
                <w:rFonts w:cstheme="minorHAnsi"/>
                <w:i/>
                <w:iCs/>
                <w:color w:val="000000"/>
                <w:lang w:val="nl-BE"/>
              </w:rPr>
              <w:t xml:space="preserve">Het gaat om het Do No Significant Harm (DNSH)-beginsel (‘geen ernstige afbreuk doen aan’) zoals gedefinieerd in de Europese verordening inzake duurzame beleggingen2. </w:t>
            </w:r>
          </w:p>
          <w:p w14:paraId="73FA3CEA" w14:textId="1F93EC4D" w:rsidR="00027646" w:rsidRPr="00F64361" w:rsidRDefault="00027646" w:rsidP="00027646">
            <w:pPr>
              <w:autoSpaceDE w:val="0"/>
              <w:autoSpaceDN w:val="0"/>
              <w:adjustRightInd w:val="0"/>
              <w:rPr>
                <w:rFonts w:cstheme="minorHAnsi"/>
                <w:i/>
                <w:iCs/>
                <w:color w:val="000000"/>
                <w:lang w:val="nl-BE"/>
              </w:rPr>
            </w:pPr>
            <w:r w:rsidRPr="00F64361">
              <w:rPr>
                <w:rFonts w:cstheme="minorHAnsi"/>
                <w:i/>
                <w:iCs/>
                <w:color w:val="000000"/>
                <w:lang w:val="nl-BE"/>
              </w:rPr>
              <w:t xml:space="preserve">Alle projectaanvragers dienden bijgevolg een DNSH-evaluatie door te voeren, en deze toe te voegen als bijlage bij de projectaanvraag. De Europese Commissie publiceerde een document met Technische richtsnoeren waarin de methodologie voor de uitvoering van deze evaluatie wordt gedefinieerd. </w:t>
            </w:r>
          </w:p>
          <w:p w14:paraId="61FFC814" w14:textId="77777777" w:rsidR="00027646" w:rsidRPr="00F64361" w:rsidRDefault="00027646" w:rsidP="00027646">
            <w:pPr>
              <w:autoSpaceDE w:val="0"/>
              <w:autoSpaceDN w:val="0"/>
              <w:adjustRightInd w:val="0"/>
              <w:rPr>
                <w:rFonts w:cstheme="minorHAnsi"/>
                <w:i/>
                <w:iCs/>
                <w:color w:val="000000"/>
                <w:lang w:val="nl-BE"/>
              </w:rPr>
            </w:pPr>
            <w:r w:rsidRPr="00F64361">
              <w:rPr>
                <w:rFonts w:cstheme="minorHAnsi"/>
                <w:i/>
                <w:iCs/>
                <w:color w:val="000000"/>
                <w:lang w:val="nl-BE"/>
              </w:rPr>
              <w:t xml:space="preserve">De resultaten van deze test horen integraal bij de projectaanvraag, en maken integraal deel uit van deze projectovereenkomst. </w:t>
            </w:r>
          </w:p>
          <w:p w14:paraId="2CAB96D6" w14:textId="77777777" w:rsidR="00027646" w:rsidRPr="00860A21" w:rsidRDefault="00027646" w:rsidP="00027646">
            <w:pPr>
              <w:autoSpaceDE w:val="0"/>
              <w:autoSpaceDN w:val="0"/>
              <w:adjustRightInd w:val="0"/>
              <w:rPr>
                <w:rFonts w:ascii="Calibri" w:hAnsi="Calibri" w:cs="Calibri"/>
                <w:i/>
                <w:iCs/>
                <w:color w:val="000000"/>
                <w:lang w:val="nl-BE"/>
              </w:rPr>
            </w:pPr>
            <w:r w:rsidRPr="00F64361">
              <w:rPr>
                <w:rFonts w:ascii="Calibri" w:hAnsi="Calibri" w:cs="Calibri"/>
                <w:i/>
                <w:iCs/>
                <w:color w:val="000000"/>
                <w:lang w:val="nl-BE"/>
              </w:rPr>
              <w:t xml:space="preserve">Onderstaande activiteiten zijn uitgesloten van financiering: </w:t>
            </w:r>
          </w:p>
          <w:p w14:paraId="4DC654FA" w14:textId="77777777" w:rsidR="00027646" w:rsidRPr="00860A21" w:rsidRDefault="00027646" w:rsidP="00027646">
            <w:pPr>
              <w:pStyle w:val="Lijstalinea"/>
              <w:numPr>
                <w:ilvl w:val="0"/>
                <w:numId w:val="17"/>
              </w:numPr>
              <w:autoSpaceDE w:val="0"/>
              <w:autoSpaceDN w:val="0"/>
              <w:adjustRightInd w:val="0"/>
              <w:rPr>
                <w:rFonts w:ascii="Calibri" w:hAnsi="Calibri" w:cs="Calibri"/>
                <w:i/>
                <w:iCs/>
                <w:color w:val="000000"/>
                <w:lang w:val="nl-BE"/>
              </w:rPr>
            </w:pPr>
            <w:r w:rsidRPr="00860A21">
              <w:rPr>
                <w:rFonts w:ascii="Calibri" w:hAnsi="Calibri" w:cs="Calibri"/>
                <w:i/>
                <w:iCs/>
                <w:color w:val="000000"/>
                <w:lang w:val="nl-BE"/>
              </w:rPr>
              <w:t>Activiteiten met betrekking tot fossiele brandstoffen, inclusief het downstreamgebruik daarvan;</w:t>
            </w:r>
          </w:p>
          <w:p w14:paraId="4CB6CE5D" w14:textId="77777777" w:rsidR="00027646" w:rsidRPr="00860A21" w:rsidRDefault="00027646" w:rsidP="00027646">
            <w:pPr>
              <w:pStyle w:val="Lijstalinea"/>
              <w:numPr>
                <w:ilvl w:val="0"/>
                <w:numId w:val="17"/>
              </w:numPr>
              <w:autoSpaceDE w:val="0"/>
              <w:autoSpaceDN w:val="0"/>
              <w:adjustRightInd w:val="0"/>
              <w:rPr>
                <w:rFonts w:ascii="Calibri" w:hAnsi="Calibri" w:cs="Calibri"/>
                <w:i/>
                <w:iCs/>
                <w:color w:val="000000"/>
                <w:lang w:val="nl-BE"/>
              </w:rPr>
            </w:pPr>
            <w:r w:rsidRPr="00860A21">
              <w:rPr>
                <w:rFonts w:ascii="Calibri" w:hAnsi="Calibri" w:cs="Calibri"/>
                <w:i/>
                <w:iCs/>
                <w:color w:val="000000"/>
                <w:lang w:val="nl-BE"/>
              </w:rPr>
              <w:t>Activiteiten in het kader van het EU-emissiehandelssysteem waarin geraamde broeikasgasemissies worden gerealiseerd die niet lager liggen dan de desbetreffende benchmarks</w:t>
            </w:r>
            <w:r w:rsidRPr="00860A21">
              <w:rPr>
                <w:rFonts w:ascii="Times New Roman" w:hAnsi="Times New Roman" w:cs="Times New Roman"/>
                <w:i/>
                <w:iCs/>
                <w:color w:val="000000"/>
                <w:sz w:val="16"/>
                <w:szCs w:val="16"/>
                <w:lang w:val="nl-BE"/>
              </w:rPr>
              <w:t>4</w:t>
            </w:r>
            <w:r w:rsidRPr="00860A21">
              <w:rPr>
                <w:rFonts w:ascii="Calibri" w:hAnsi="Calibri" w:cs="Calibri"/>
                <w:i/>
                <w:iCs/>
                <w:color w:val="000000"/>
                <w:lang w:val="nl-BE"/>
              </w:rPr>
              <w:t>;</w:t>
            </w:r>
          </w:p>
          <w:p w14:paraId="1C17B3EF" w14:textId="77777777" w:rsidR="00027646" w:rsidRPr="00860A21" w:rsidRDefault="00027646" w:rsidP="00027646">
            <w:pPr>
              <w:pStyle w:val="Lijstalinea"/>
              <w:numPr>
                <w:ilvl w:val="0"/>
                <w:numId w:val="17"/>
              </w:numPr>
              <w:autoSpaceDE w:val="0"/>
              <w:autoSpaceDN w:val="0"/>
              <w:adjustRightInd w:val="0"/>
              <w:rPr>
                <w:rFonts w:ascii="Calibri" w:hAnsi="Calibri" w:cs="Calibri"/>
                <w:i/>
                <w:iCs/>
                <w:color w:val="000000"/>
                <w:lang w:val="nl-BE"/>
              </w:rPr>
            </w:pPr>
            <w:r w:rsidRPr="00860A21">
              <w:rPr>
                <w:rFonts w:ascii="Calibri" w:hAnsi="Calibri" w:cs="Calibri"/>
                <w:i/>
                <w:iCs/>
                <w:color w:val="000000"/>
                <w:lang w:val="nl-BE"/>
              </w:rPr>
              <w:t>Activiteiten met betrekking tot stortplaatsen, verbrandingsinstallaties</w:t>
            </w:r>
            <w:r w:rsidRPr="00860A21">
              <w:rPr>
                <w:rFonts w:ascii="Times New Roman" w:hAnsi="Times New Roman" w:cs="Times New Roman"/>
                <w:i/>
                <w:iCs/>
                <w:color w:val="000000"/>
                <w:sz w:val="16"/>
                <w:szCs w:val="16"/>
                <w:lang w:val="nl-BE"/>
              </w:rPr>
              <w:t xml:space="preserve">5 </w:t>
            </w:r>
            <w:r w:rsidRPr="00860A21">
              <w:rPr>
                <w:rFonts w:ascii="Calibri" w:hAnsi="Calibri" w:cs="Calibri"/>
                <w:i/>
                <w:iCs/>
                <w:color w:val="000000"/>
                <w:lang w:val="nl-BE"/>
              </w:rPr>
              <w:t>en mechanische biologische afvalverwerkingsinstallaties</w:t>
            </w:r>
            <w:r w:rsidRPr="00860A21">
              <w:rPr>
                <w:rFonts w:ascii="Times New Roman" w:hAnsi="Times New Roman" w:cs="Times New Roman"/>
                <w:i/>
                <w:iCs/>
                <w:color w:val="000000"/>
                <w:sz w:val="16"/>
                <w:szCs w:val="16"/>
                <w:lang w:val="nl-BE"/>
              </w:rPr>
              <w:t>6</w:t>
            </w:r>
            <w:r w:rsidRPr="00860A21">
              <w:rPr>
                <w:rFonts w:ascii="Calibri" w:hAnsi="Calibri" w:cs="Calibri"/>
                <w:i/>
                <w:iCs/>
                <w:color w:val="000000"/>
                <w:lang w:val="nl-BE"/>
              </w:rPr>
              <w:t xml:space="preserve">; </w:t>
            </w:r>
          </w:p>
          <w:p w14:paraId="545E8BC0" w14:textId="77777777" w:rsidR="00027646" w:rsidRPr="00860A21" w:rsidRDefault="00027646" w:rsidP="00027646">
            <w:pPr>
              <w:pStyle w:val="Lijstalinea"/>
              <w:numPr>
                <w:ilvl w:val="0"/>
                <w:numId w:val="17"/>
              </w:numPr>
              <w:autoSpaceDE w:val="0"/>
              <w:autoSpaceDN w:val="0"/>
              <w:adjustRightInd w:val="0"/>
              <w:rPr>
                <w:rFonts w:ascii="Calibri" w:hAnsi="Calibri" w:cs="Calibri"/>
                <w:i/>
                <w:iCs/>
                <w:color w:val="000000"/>
                <w:lang w:val="nl-BE"/>
              </w:rPr>
            </w:pPr>
            <w:r w:rsidRPr="00860A21">
              <w:rPr>
                <w:rFonts w:ascii="Calibri" w:hAnsi="Calibri" w:cs="Calibri"/>
                <w:i/>
                <w:iCs/>
                <w:color w:val="000000"/>
                <w:lang w:val="nl-BE"/>
              </w:rPr>
              <w:t xml:space="preserve">Activiteiten waarin de verwijdering van afval op lange termijn schade kan berokkenen aan het milieu. </w:t>
            </w:r>
          </w:p>
          <w:p w14:paraId="4A2419DE" w14:textId="77777777" w:rsidR="00027646" w:rsidRPr="00F64361" w:rsidRDefault="00027646" w:rsidP="00027646">
            <w:pPr>
              <w:autoSpaceDE w:val="0"/>
              <w:autoSpaceDN w:val="0"/>
              <w:adjustRightInd w:val="0"/>
              <w:rPr>
                <w:rFonts w:ascii="Calibri" w:hAnsi="Calibri" w:cs="Calibri"/>
                <w:i/>
                <w:iCs/>
                <w:color w:val="000000"/>
                <w:lang w:val="nl-BE"/>
              </w:rPr>
            </w:pPr>
          </w:p>
          <w:p w14:paraId="03DC4887" w14:textId="660140AC" w:rsidR="00027646" w:rsidRPr="00027646" w:rsidRDefault="00027646" w:rsidP="00027646">
            <w:pPr>
              <w:jc w:val="both"/>
              <w:rPr>
                <w:lang w:val="nl-BE"/>
              </w:rPr>
            </w:pPr>
            <w:r w:rsidRPr="00860A21">
              <w:rPr>
                <w:rFonts w:ascii="Calibri" w:hAnsi="Calibri" w:cs="Calibri"/>
                <w:i/>
                <w:iCs/>
                <w:color w:val="000000"/>
                <w:lang w:val="nl-BE"/>
              </w:rPr>
              <w:t>Bijkomend verbindt de projectpromotor zich ertoe om in alle projectactiviteiten de relevante EU- en nationale milieuwetgeving na te leven.</w:t>
            </w:r>
          </w:p>
          <w:p w14:paraId="3A0663CF" w14:textId="77777777" w:rsidR="00027646" w:rsidRDefault="00027646" w:rsidP="00685CD4">
            <w:pPr>
              <w:jc w:val="both"/>
              <w:rPr>
                <w:lang w:val="nl-BE"/>
              </w:rPr>
            </w:pPr>
          </w:p>
          <w:p w14:paraId="75109AF5" w14:textId="45412645" w:rsidR="00860A21" w:rsidRDefault="003D1481" w:rsidP="00685CD4">
            <w:pPr>
              <w:jc w:val="both"/>
            </w:pPr>
            <w:r w:rsidRPr="4269C4A0">
              <w:rPr>
                <w:lang w:val="en-US"/>
              </w:rPr>
              <w:t xml:space="preserve">A copy of the template used for the DNSH-assessment </w:t>
            </w:r>
            <w:r w:rsidR="004C4FDC" w:rsidRPr="4269C4A0">
              <w:rPr>
                <w:lang w:val="en-US"/>
              </w:rPr>
              <w:t xml:space="preserve">is included in </w:t>
            </w:r>
            <w:r w:rsidR="0097608F" w:rsidRPr="4269C4A0">
              <w:rPr>
                <w:u w:val="single"/>
                <w:lang w:val="en-US"/>
              </w:rPr>
              <w:t>Annex 3</w:t>
            </w:r>
            <w:r w:rsidR="00181532" w:rsidRPr="4269C4A0">
              <w:rPr>
                <w:u w:val="single"/>
                <w:lang w:val="en-US"/>
              </w:rPr>
              <w:t>d</w:t>
            </w:r>
            <w:r w:rsidR="1FE9520C" w:rsidRPr="4269C4A0">
              <w:rPr>
                <w:u w:val="single"/>
                <w:lang w:val="en-US"/>
              </w:rPr>
              <w:t>.</w:t>
            </w:r>
            <w:r w:rsidR="0097608F" w:rsidRPr="4269C4A0">
              <w:rPr>
                <w:u w:val="single"/>
                <w:lang w:val="en-US"/>
              </w:rPr>
              <w:t xml:space="preserve"> </w:t>
            </w:r>
            <w:proofErr w:type="spellStart"/>
            <w:r w:rsidR="0097608F" w:rsidRPr="4269C4A0">
              <w:rPr>
                <w:u w:val="single"/>
                <w:lang w:val="en-US"/>
              </w:rPr>
              <w:t>Sjabloon</w:t>
            </w:r>
            <w:proofErr w:type="spellEnd"/>
            <w:r w:rsidR="0097608F" w:rsidRPr="4269C4A0">
              <w:rPr>
                <w:u w:val="single"/>
                <w:lang w:val="en-US"/>
              </w:rPr>
              <w:t xml:space="preserve"> DNSH-</w:t>
            </w:r>
            <w:proofErr w:type="spellStart"/>
            <w:r w:rsidR="0097608F" w:rsidRPr="4269C4A0">
              <w:rPr>
                <w:u w:val="single"/>
                <w:lang w:val="en-US"/>
              </w:rPr>
              <w:t>analyse</w:t>
            </w:r>
            <w:proofErr w:type="spellEnd"/>
            <w:r w:rsidR="0097608F" w:rsidRPr="4269C4A0">
              <w:rPr>
                <w:u w:val="single"/>
                <w:lang w:val="en-US"/>
              </w:rPr>
              <w:t>.</w:t>
            </w:r>
            <w:r w:rsidR="0097608F" w:rsidRPr="4269C4A0">
              <w:rPr>
                <w:lang w:val="en-US"/>
              </w:rPr>
              <w:t xml:space="preserve"> </w:t>
            </w:r>
            <w:r w:rsidR="00860A21" w:rsidRPr="4269C4A0">
              <w:rPr>
                <w:lang w:val="en-US"/>
              </w:rPr>
              <w:t xml:space="preserve">A copy of the grant agreement for this project </w:t>
            </w:r>
            <w:r w:rsidR="006261A3" w:rsidRPr="4269C4A0">
              <w:rPr>
                <w:lang w:val="en-US"/>
              </w:rPr>
              <w:t xml:space="preserve">is attached in </w:t>
            </w:r>
            <w:r w:rsidR="00872BAB" w:rsidRPr="4269C4A0">
              <w:rPr>
                <w:u w:val="single"/>
                <w:lang w:val="en-US"/>
              </w:rPr>
              <w:t xml:space="preserve">Annex </w:t>
            </w:r>
            <w:r w:rsidR="0DF5B1F7" w:rsidRPr="4269C4A0">
              <w:rPr>
                <w:u w:val="single"/>
                <w:lang w:val="en-US"/>
              </w:rPr>
              <w:t>3</w:t>
            </w:r>
            <w:r w:rsidR="6F91B289" w:rsidRPr="4269C4A0">
              <w:rPr>
                <w:u w:val="single"/>
                <w:lang w:val="en-US"/>
              </w:rPr>
              <w:t>e.</w:t>
            </w:r>
            <w:r w:rsidR="00872BAB" w:rsidRPr="4269C4A0">
              <w:rPr>
                <w:u w:val="single"/>
                <w:lang w:val="en-US"/>
              </w:rPr>
              <w:t xml:space="preserve"> Grant agreement VV023-11</w:t>
            </w:r>
            <w:r w:rsidR="00872BAB" w:rsidRPr="4269C4A0">
              <w:rPr>
                <w:lang w:val="en-US"/>
              </w:rPr>
              <w:t>.</w:t>
            </w:r>
            <w:r w:rsidR="00996952" w:rsidRPr="4269C4A0">
              <w:rPr>
                <w:lang w:val="en-US"/>
              </w:rPr>
              <w:t xml:space="preserve"> </w:t>
            </w:r>
            <w:r w:rsidR="009D3C61" w:rsidRPr="4269C4A0">
              <w:rPr>
                <w:lang w:val="en-US"/>
              </w:rPr>
              <w:t xml:space="preserve">The relevant extract can be found on pages 5-6 of this document. </w:t>
            </w:r>
          </w:p>
          <w:p w14:paraId="1F2D7B13" w14:textId="77777777" w:rsidR="00027646" w:rsidRPr="00860A21" w:rsidRDefault="00027646" w:rsidP="00685CD4">
            <w:pPr>
              <w:jc w:val="both"/>
            </w:pPr>
          </w:p>
          <w:p w14:paraId="1671B759" w14:textId="77777777" w:rsidR="00027646" w:rsidRPr="00860A21" w:rsidRDefault="00027646" w:rsidP="00685CD4">
            <w:pPr>
              <w:jc w:val="both"/>
            </w:pPr>
          </w:p>
          <w:p w14:paraId="5601D4CC" w14:textId="6C51C922" w:rsidR="007661F1" w:rsidRDefault="002D272A" w:rsidP="00685CD4">
            <w:pPr>
              <w:jc w:val="both"/>
              <w:rPr>
                <w:b/>
                <w:bCs/>
                <w:lang w:val="en-US"/>
              </w:rPr>
            </w:pPr>
            <w:r w:rsidRPr="002D272A">
              <w:rPr>
                <w:b/>
                <w:bCs/>
                <w:lang w:val="en-US"/>
              </w:rPr>
              <w:t>4. Copy of the published grant schemes conditions</w:t>
            </w:r>
          </w:p>
          <w:p w14:paraId="02034761" w14:textId="77777777" w:rsidR="002D272A" w:rsidRDefault="002D272A" w:rsidP="00685CD4">
            <w:pPr>
              <w:jc w:val="both"/>
              <w:rPr>
                <w:b/>
                <w:bCs/>
                <w:lang w:val="en-US"/>
              </w:rPr>
            </w:pPr>
          </w:p>
          <w:p w14:paraId="7629BDB7" w14:textId="19562227" w:rsidR="002D272A" w:rsidRDefault="002D272A" w:rsidP="00685CD4">
            <w:pPr>
              <w:jc w:val="both"/>
              <w:rPr>
                <w:lang w:val="en-US"/>
              </w:rPr>
            </w:pPr>
            <w:r>
              <w:rPr>
                <w:lang w:val="en-US"/>
              </w:rPr>
              <w:t xml:space="preserve">The documents under Annex 4 provide </w:t>
            </w:r>
            <w:r w:rsidR="009550EE">
              <w:rPr>
                <w:lang w:val="en-US"/>
              </w:rPr>
              <w:t xml:space="preserve">the conditions under which grants were awarded to projects under measure 5.11. </w:t>
            </w:r>
            <w:r w:rsidR="00EF6121">
              <w:rPr>
                <w:lang w:val="en-US"/>
              </w:rPr>
              <w:t>B</w:t>
            </w:r>
            <w:r w:rsidR="00FA20B3">
              <w:rPr>
                <w:lang w:val="en-US"/>
              </w:rPr>
              <w:t xml:space="preserve">oth the legal basis as well as </w:t>
            </w:r>
            <w:r w:rsidR="00EC6F18">
              <w:rPr>
                <w:lang w:val="en-US"/>
              </w:rPr>
              <w:t xml:space="preserve">the guides for the respective project types are included. The </w:t>
            </w:r>
            <w:r w:rsidR="002553F1">
              <w:rPr>
                <w:lang w:val="en-US"/>
              </w:rPr>
              <w:t>schemes under which VLAIO provided support in the context of measure 5.11 are as follows (in Dutch):</w:t>
            </w:r>
          </w:p>
          <w:p w14:paraId="712EA251" w14:textId="7421CF0E" w:rsidR="00EC6F18" w:rsidRPr="00EC6F18" w:rsidRDefault="00EC6F18" w:rsidP="00EC6F18">
            <w:pPr>
              <w:jc w:val="both"/>
              <w:rPr>
                <w:lang w:val="en-US"/>
              </w:rPr>
            </w:pPr>
          </w:p>
          <w:p w14:paraId="3E3D1EE3" w14:textId="2FAF22ED" w:rsidR="00E47F28" w:rsidRPr="00B265CE" w:rsidRDefault="00CB19F6" w:rsidP="00E47F28">
            <w:pPr>
              <w:pStyle w:val="Lijstalinea"/>
              <w:numPr>
                <w:ilvl w:val="0"/>
                <w:numId w:val="18"/>
              </w:numPr>
              <w:spacing w:after="160" w:line="259" w:lineRule="auto"/>
              <w:rPr>
                <w:rStyle w:val="Hyperlink"/>
                <w:color w:val="auto"/>
                <w:u w:val="none"/>
                <w:lang w:val="nl-BE"/>
              </w:rPr>
            </w:pPr>
            <w:hyperlink r:id="rId34">
              <w:r w:rsidR="32491E3B" w:rsidRPr="69B40D5D">
                <w:rPr>
                  <w:rStyle w:val="Hyperlink"/>
                  <w:lang w:val="nl-BE"/>
                </w:rPr>
                <w:t>O</w:t>
              </w:r>
              <w:r w:rsidR="00E47F28" w:rsidRPr="69B40D5D">
                <w:rPr>
                  <w:rStyle w:val="Hyperlink"/>
                  <w:lang w:val="nl-BE"/>
                </w:rPr>
                <w:t>nderzoeksproject (OND)</w:t>
              </w:r>
            </w:hyperlink>
          </w:p>
          <w:p w14:paraId="06B94120" w14:textId="74779554" w:rsidR="00B265CE" w:rsidRPr="00027646" w:rsidRDefault="31A8BA25" w:rsidP="00B265CE">
            <w:pPr>
              <w:pStyle w:val="Lijstalinea"/>
              <w:numPr>
                <w:ilvl w:val="1"/>
                <w:numId w:val="18"/>
              </w:numPr>
              <w:rPr>
                <w:lang w:val="nl-BE"/>
              </w:rPr>
            </w:pPr>
            <w:r w:rsidRPr="5E2D1331">
              <w:rPr>
                <w:u w:val="single"/>
                <w:lang w:val="nl-BE"/>
              </w:rPr>
              <w:t xml:space="preserve">Annex </w:t>
            </w:r>
            <w:r w:rsidRPr="65A617DC">
              <w:rPr>
                <w:u w:val="single"/>
                <w:lang w:val="nl-BE"/>
              </w:rPr>
              <w:t>4a. Algemene Voorwaarden Innovatiesteun_2021.1</w:t>
            </w:r>
          </w:p>
          <w:p w14:paraId="2DAC9A4A" w14:textId="5B311F4B" w:rsidR="00B265CE" w:rsidRPr="00027646" w:rsidRDefault="31A8BA25" w:rsidP="00B265CE">
            <w:pPr>
              <w:pStyle w:val="Lijstalinea"/>
              <w:numPr>
                <w:ilvl w:val="1"/>
                <w:numId w:val="18"/>
              </w:numPr>
              <w:rPr>
                <w:lang w:val="nl-BE"/>
              </w:rPr>
            </w:pPr>
            <w:r w:rsidRPr="65A617DC">
              <w:rPr>
                <w:u w:val="single"/>
                <w:lang w:val="nl-BE"/>
              </w:rPr>
              <w:lastRenderedPageBreak/>
              <w:t>Annex 4c.</w:t>
            </w:r>
            <w:r w:rsidRPr="5E2D1331">
              <w:rPr>
                <w:u w:val="single"/>
                <w:lang w:val="nl-BE"/>
              </w:rPr>
              <w:t xml:space="preserve"> Besluit van de Vlaamse Regering [...] ondernemingen voor [O&amp;O] met een kennisintensief karakter in Vlaanderen</w:t>
            </w:r>
          </w:p>
          <w:p w14:paraId="37DB6D02" w14:textId="5EA26DC0" w:rsidR="6C8DA6C5" w:rsidRDefault="31A8BA25" w:rsidP="6C8DA6C5">
            <w:pPr>
              <w:pStyle w:val="Lijstalinea"/>
              <w:numPr>
                <w:ilvl w:val="1"/>
                <w:numId w:val="18"/>
              </w:numPr>
              <w:rPr>
                <w:u w:val="single"/>
                <w:lang w:val="nl-BE"/>
              </w:rPr>
            </w:pPr>
            <w:r w:rsidRPr="3FC4A152">
              <w:rPr>
                <w:u w:val="single"/>
                <w:lang w:val="nl-BE"/>
              </w:rPr>
              <w:t>Annex 4j. Toelichtingsdocument Ontwikkelingsprojecten - Onderzoeksprojecten - O&amp;O Haalbaarheidsstudies</w:t>
            </w:r>
          </w:p>
          <w:p w14:paraId="49D6CF65" w14:textId="35515137" w:rsidR="00E47F28" w:rsidRPr="00027646" w:rsidRDefault="00CB19F6" w:rsidP="00E47F28">
            <w:pPr>
              <w:pStyle w:val="Lijstalinea"/>
              <w:numPr>
                <w:ilvl w:val="0"/>
                <w:numId w:val="18"/>
              </w:numPr>
              <w:rPr>
                <w:lang w:val="nl-BE"/>
              </w:rPr>
            </w:pPr>
            <w:hyperlink r:id="rId35">
              <w:r w:rsidR="5CCDA202" w:rsidRPr="57F40589">
                <w:rPr>
                  <w:rStyle w:val="Hyperlink"/>
                  <w:lang w:val="nl-BE"/>
                </w:rPr>
                <w:t>O</w:t>
              </w:r>
              <w:r w:rsidR="00E47F28" w:rsidRPr="57F40589">
                <w:rPr>
                  <w:rStyle w:val="Hyperlink"/>
                  <w:lang w:val="nl-BE"/>
                </w:rPr>
                <w:t>ntwikkelingsproject (ONTW)</w:t>
              </w:r>
            </w:hyperlink>
          </w:p>
          <w:p w14:paraId="2D95E690" w14:textId="5036C0F2" w:rsidR="60B8BB16" w:rsidRDefault="60B8BB16" w:rsidP="3A5A5D98">
            <w:pPr>
              <w:pStyle w:val="Lijstalinea"/>
              <w:numPr>
                <w:ilvl w:val="1"/>
                <w:numId w:val="18"/>
              </w:numPr>
              <w:rPr>
                <w:lang w:val="nl-BE"/>
              </w:rPr>
            </w:pPr>
            <w:r w:rsidRPr="3A5A5D98">
              <w:rPr>
                <w:u w:val="single"/>
                <w:lang w:val="nl-BE"/>
              </w:rPr>
              <w:t>Annex 4a. Algemene Voorwaarden Innovatiesteun_2021.1</w:t>
            </w:r>
          </w:p>
          <w:p w14:paraId="3379B9C0" w14:textId="4706DCFE" w:rsidR="5A5C0F27" w:rsidRDefault="60B8BB16" w:rsidP="5A5C0F27">
            <w:pPr>
              <w:pStyle w:val="Lijstalinea"/>
              <w:numPr>
                <w:ilvl w:val="1"/>
                <w:numId w:val="18"/>
              </w:numPr>
              <w:rPr>
                <w:lang w:val="nl-BE"/>
              </w:rPr>
            </w:pPr>
            <w:r w:rsidRPr="30AC5815">
              <w:rPr>
                <w:u w:val="single"/>
                <w:lang w:val="nl-BE"/>
              </w:rPr>
              <w:t>Annex 4d. Besluit van de Vlaamse Regering [...] steun aan ondernemingen voor ontwikkeling en innovatie in Vlaanderen</w:t>
            </w:r>
          </w:p>
          <w:p w14:paraId="4BB93C2D" w14:textId="61906137" w:rsidR="20617C14" w:rsidRDefault="60B8BB16" w:rsidP="3A5A5D98">
            <w:pPr>
              <w:pStyle w:val="Lijstalinea"/>
              <w:numPr>
                <w:ilvl w:val="1"/>
                <w:numId w:val="18"/>
              </w:numPr>
              <w:rPr>
                <w:u w:val="single"/>
                <w:lang w:val="nl-BE"/>
              </w:rPr>
            </w:pPr>
            <w:r w:rsidRPr="64F74BD8">
              <w:rPr>
                <w:u w:val="single"/>
                <w:lang w:val="nl-BE"/>
              </w:rPr>
              <w:t>Annex 4j. Toelichtingsdocument Ontwikkelingsprojecten - Onderzoeksprojecten - O&amp;O Haalbaarheidsstudies</w:t>
            </w:r>
          </w:p>
          <w:p w14:paraId="50DF22DE" w14:textId="77777777" w:rsidR="00E47F28" w:rsidRPr="00027646" w:rsidRDefault="00CB19F6" w:rsidP="00E47F28">
            <w:pPr>
              <w:pStyle w:val="Lijstalinea"/>
              <w:numPr>
                <w:ilvl w:val="0"/>
                <w:numId w:val="18"/>
              </w:numPr>
              <w:rPr>
                <w:lang w:val="nl-BE"/>
              </w:rPr>
            </w:pPr>
            <w:hyperlink r:id="rId36">
              <w:r w:rsidR="00E47F28" w:rsidRPr="2449CA21">
                <w:rPr>
                  <w:rStyle w:val="Hyperlink"/>
                  <w:lang w:val="nl-BE"/>
                </w:rPr>
                <w:t>O&amp;O Haalbaarheidsstudie (HS)</w:t>
              </w:r>
            </w:hyperlink>
          </w:p>
          <w:p w14:paraId="2B27E39A" w14:textId="3BC5D49B" w:rsidR="3A2142F8" w:rsidRDefault="3A2142F8" w:rsidP="3DCD742C">
            <w:pPr>
              <w:pStyle w:val="Lijstalinea"/>
              <w:numPr>
                <w:ilvl w:val="1"/>
                <w:numId w:val="18"/>
              </w:numPr>
              <w:rPr>
                <w:lang w:val="nl-BE"/>
              </w:rPr>
            </w:pPr>
            <w:r w:rsidRPr="3DCD742C">
              <w:rPr>
                <w:u w:val="single"/>
                <w:lang w:val="nl-BE"/>
              </w:rPr>
              <w:t>Annex 4a. Algemene Voorwaarden Innovatiesteun_2021.1</w:t>
            </w:r>
          </w:p>
          <w:p w14:paraId="4A73DE3C" w14:textId="00B726C4" w:rsidR="3A2142F8" w:rsidRDefault="3A2142F8" w:rsidP="3DCD742C">
            <w:pPr>
              <w:pStyle w:val="Lijstalinea"/>
              <w:numPr>
                <w:ilvl w:val="1"/>
                <w:numId w:val="18"/>
              </w:numPr>
              <w:rPr>
                <w:lang w:val="nl-BE"/>
              </w:rPr>
            </w:pPr>
            <w:r w:rsidRPr="3DCD742C">
              <w:rPr>
                <w:u w:val="single"/>
                <w:lang w:val="nl-BE"/>
              </w:rPr>
              <w:t>Annex 4d. Besluit van de Vlaamse Regering [...] steun aan ondernemingen voor ontwikkeling en innovatie in Vlaanderen</w:t>
            </w:r>
          </w:p>
          <w:p w14:paraId="5B66C460" w14:textId="719AF9CB" w:rsidR="3A2142F8" w:rsidRDefault="3A2142F8" w:rsidP="3DCD742C">
            <w:pPr>
              <w:pStyle w:val="Lijstalinea"/>
              <w:numPr>
                <w:ilvl w:val="1"/>
                <w:numId w:val="18"/>
              </w:numPr>
              <w:rPr>
                <w:u w:val="single"/>
                <w:lang w:val="nl-BE"/>
              </w:rPr>
            </w:pPr>
            <w:r w:rsidRPr="3DCD742C">
              <w:rPr>
                <w:u w:val="single"/>
                <w:lang w:val="nl-BE"/>
              </w:rPr>
              <w:t>Annex 4j. Toelichtingsdocument Ontwikkelingsprojecten - Onderzoeksprojecten - O&amp;O Haalbaarheidsstudies</w:t>
            </w:r>
          </w:p>
          <w:p w14:paraId="1B497BF0" w14:textId="5211AF0F" w:rsidR="00E47F28" w:rsidRPr="001F73B7" w:rsidRDefault="00CB19F6" w:rsidP="00E47F28">
            <w:pPr>
              <w:pStyle w:val="Lijstalinea"/>
              <w:numPr>
                <w:ilvl w:val="0"/>
                <w:numId w:val="18"/>
              </w:numPr>
              <w:spacing w:after="160" w:line="259" w:lineRule="auto"/>
              <w:rPr>
                <w:rStyle w:val="Hyperlink"/>
                <w:color w:val="auto"/>
                <w:u w:val="none"/>
                <w:lang w:val="nl-BE"/>
              </w:rPr>
            </w:pPr>
            <w:hyperlink r:id="rId37">
              <w:r w:rsidR="00E47F28" w:rsidRPr="358E8F38">
                <w:rPr>
                  <w:rStyle w:val="Hyperlink"/>
                  <w:lang w:val="nl-BE"/>
                </w:rPr>
                <w:t>Landbouwtrajecten</w:t>
              </w:r>
              <w:r w:rsidR="6F569DD0" w:rsidRPr="0D9EBC64">
                <w:rPr>
                  <w:rStyle w:val="Hyperlink"/>
                  <w:lang w:val="nl-BE"/>
                </w:rPr>
                <w:t xml:space="preserve"> (LATR)</w:t>
              </w:r>
            </w:hyperlink>
          </w:p>
          <w:p w14:paraId="64AB74F7" w14:textId="00C9A2EE" w:rsidR="001F73B7" w:rsidRPr="001F73B7" w:rsidRDefault="731BDAFE" w:rsidP="001F73B7">
            <w:pPr>
              <w:pStyle w:val="Lijstalinea"/>
              <w:numPr>
                <w:ilvl w:val="1"/>
                <w:numId w:val="18"/>
              </w:numPr>
              <w:spacing w:after="160" w:line="259" w:lineRule="auto"/>
              <w:rPr>
                <w:lang w:val="nl-BE"/>
              </w:rPr>
            </w:pPr>
            <w:r w:rsidRPr="432A3BB5">
              <w:rPr>
                <w:u w:val="single"/>
                <w:lang w:val="nl-BE"/>
              </w:rPr>
              <w:t xml:space="preserve">Annex 4a. Algemene Voorwaarden Innovatiesteun_2021.1 </w:t>
            </w:r>
          </w:p>
          <w:p w14:paraId="39720438" w14:textId="24ADA14E" w:rsidR="001F73B7" w:rsidRPr="001F73B7" w:rsidRDefault="001F73B7" w:rsidP="001F73B7">
            <w:pPr>
              <w:pStyle w:val="Lijstalinea"/>
              <w:numPr>
                <w:ilvl w:val="1"/>
                <w:numId w:val="18"/>
              </w:numPr>
              <w:spacing w:after="160" w:line="259" w:lineRule="auto"/>
              <w:rPr>
                <w:lang w:val="nl-BE"/>
              </w:rPr>
            </w:pPr>
            <w:r w:rsidRPr="00DC30CE">
              <w:rPr>
                <w:u w:val="single"/>
                <w:lang w:val="nl-BE"/>
              </w:rPr>
              <w:t xml:space="preserve">Annex </w:t>
            </w:r>
            <w:r w:rsidR="2B3F58B9" w:rsidRPr="011CDC08">
              <w:rPr>
                <w:u w:val="single"/>
                <w:lang w:val="nl-BE"/>
              </w:rPr>
              <w:t>4</w:t>
            </w:r>
            <w:r w:rsidR="6E9EBE90" w:rsidRPr="011CDC08">
              <w:rPr>
                <w:u w:val="single"/>
                <w:lang w:val="nl-BE"/>
              </w:rPr>
              <w:t>e</w:t>
            </w:r>
            <w:r w:rsidRPr="00DC30CE">
              <w:rPr>
                <w:u w:val="single"/>
                <w:lang w:val="nl-BE"/>
              </w:rPr>
              <w:t>. Besluit van de Vlaamse Regering betreffende de projectmatige financiering van [...] onderzoek voor de land en tuinbouwsector</w:t>
            </w:r>
          </w:p>
          <w:p w14:paraId="7BFFEA94" w14:textId="7900812D" w:rsidR="001F73B7" w:rsidRPr="00027646" w:rsidRDefault="00EA5586" w:rsidP="001F73B7">
            <w:pPr>
              <w:pStyle w:val="Lijstalinea"/>
              <w:numPr>
                <w:ilvl w:val="1"/>
                <w:numId w:val="18"/>
              </w:numPr>
              <w:rPr>
                <w:lang w:val="nl-BE"/>
              </w:rPr>
            </w:pPr>
            <w:r>
              <w:rPr>
                <w:u w:val="single"/>
              </w:rPr>
              <w:t xml:space="preserve">Annex </w:t>
            </w:r>
            <w:r w:rsidR="5C0168B7" w:rsidRPr="011CDC08">
              <w:rPr>
                <w:u w:val="single"/>
              </w:rPr>
              <w:t>4</w:t>
            </w:r>
            <w:r w:rsidR="09A02750" w:rsidRPr="011CDC08">
              <w:rPr>
                <w:u w:val="single"/>
              </w:rPr>
              <w:t>h</w:t>
            </w:r>
            <w:r>
              <w:rPr>
                <w:u w:val="single"/>
              </w:rPr>
              <w:t xml:space="preserve">. </w:t>
            </w:r>
            <w:proofErr w:type="spellStart"/>
            <w:r>
              <w:rPr>
                <w:u w:val="single"/>
                <w:lang w:val="en-US"/>
              </w:rPr>
              <w:t>Handleiding</w:t>
            </w:r>
            <w:proofErr w:type="spellEnd"/>
            <w:r>
              <w:rPr>
                <w:u w:val="single"/>
                <w:lang w:val="en-US"/>
              </w:rPr>
              <w:t xml:space="preserve"> </w:t>
            </w:r>
            <w:proofErr w:type="spellStart"/>
            <w:r>
              <w:rPr>
                <w:u w:val="single"/>
                <w:lang w:val="en-US"/>
              </w:rPr>
              <w:t>Landbouwtrajecten</w:t>
            </w:r>
            <w:proofErr w:type="spellEnd"/>
          </w:p>
          <w:p w14:paraId="6D245F21" w14:textId="77777777" w:rsidR="00E47F28" w:rsidRPr="00027646" w:rsidRDefault="00CB19F6" w:rsidP="00E47F28">
            <w:pPr>
              <w:pStyle w:val="Lijstalinea"/>
              <w:numPr>
                <w:ilvl w:val="0"/>
                <w:numId w:val="18"/>
              </w:numPr>
              <w:rPr>
                <w:lang w:val="nl-BE"/>
              </w:rPr>
            </w:pPr>
            <w:hyperlink r:id="rId38">
              <w:r w:rsidR="00E47F28" w:rsidRPr="796D0EF5">
                <w:rPr>
                  <w:rStyle w:val="Hyperlink"/>
                  <w:lang w:val="nl-BE"/>
                </w:rPr>
                <w:t>TETRA-project (TETRA)</w:t>
              </w:r>
            </w:hyperlink>
          </w:p>
          <w:p w14:paraId="2ECDFF32" w14:textId="130022F0" w:rsidR="27F4D4A3" w:rsidRDefault="27F4D4A3" w:rsidP="23C74948">
            <w:pPr>
              <w:pStyle w:val="Lijstalinea"/>
              <w:numPr>
                <w:ilvl w:val="1"/>
                <w:numId w:val="18"/>
              </w:numPr>
              <w:rPr>
                <w:lang w:val="nl-BE"/>
              </w:rPr>
            </w:pPr>
            <w:r w:rsidRPr="23C74948">
              <w:rPr>
                <w:u w:val="single"/>
                <w:lang w:val="nl-BE"/>
              </w:rPr>
              <w:t>Annex 4a. Algemene Voorwaarden Innovatiesteun_2021.1</w:t>
            </w:r>
          </w:p>
          <w:p w14:paraId="52FECDD0" w14:textId="79B8BA86" w:rsidR="6304E376" w:rsidRDefault="6304E376" w:rsidP="4269C4A0">
            <w:pPr>
              <w:pStyle w:val="Lijstalinea"/>
              <w:numPr>
                <w:ilvl w:val="1"/>
                <w:numId w:val="18"/>
              </w:numPr>
              <w:rPr>
                <w:lang w:val="en-US"/>
              </w:rPr>
            </w:pPr>
            <w:r w:rsidRPr="4269C4A0">
              <w:rPr>
                <w:u w:val="single"/>
                <w:lang w:val="en-US"/>
              </w:rPr>
              <w:t xml:space="preserve">Annex 4i. </w:t>
            </w:r>
            <w:proofErr w:type="spellStart"/>
            <w:r w:rsidRPr="4269C4A0">
              <w:rPr>
                <w:u w:val="single"/>
                <w:lang w:val="en-US"/>
              </w:rPr>
              <w:t>Handleiding</w:t>
            </w:r>
            <w:proofErr w:type="spellEnd"/>
            <w:r w:rsidRPr="4269C4A0">
              <w:rPr>
                <w:u w:val="single"/>
                <w:lang w:val="en-US"/>
              </w:rPr>
              <w:t xml:space="preserve"> TETRA </w:t>
            </w:r>
            <w:proofErr w:type="spellStart"/>
            <w:r w:rsidRPr="4269C4A0">
              <w:rPr>
                <w:u w:val="single"/>
                <w:lang w:val="en-US"/>
              </w:rPr>
              <w:t>projecten</w:t>
            </w:r>
            <w:proofErr w:type="spellEnd"/>
          </w:p>
          <w:p w14:paraId="11A18145" w14:textId="6A18F17E" w:rsidR="23C74948" w:rsidRDefault="6304E376" w:rsidP="23C74948">
            <w:pPr>
              <w:pStyle w:val="Lijstalinea"/>
              <w:numPr>
                <w:ilvl w:val="1"/>
                <w:numId w:val="18"/>
              </w:numPr>
              <w:rPr>
                <w:lang w:val="en-US"/>
              </w:rPr>
            </w:pPr>
            <w:r w:rsidRPr="007F5A1A">
              <w:rPr>
                <w:u w:val="single"/>
                <w:lang w:val="nl-BE"/>
              </w:rPr>
              <w:t>Annex 4m. Besluit van de Vlaamse Regering houdende de oprichting van een programma voor de bevordering van [kennistransfer (</w:t>
            </w:r>
            <w:proofErr w:type="spellStart"/>
            <w:r w:rsidRPr="007F5A1A">
              <w:rPr>
                <w:u w:val="single"/>
                <w:lang w:val="nl-BE"/>
              </w:rPr>
              <w:t>verv</w:t>
            </w:r>
            <w:proofErr w:type="spellEnd"/>
            <w:r w:rsidRPr="007F5A1A">
              <w:rPr>
                <w:u w:val="single"/>
                <w:lang w:val="nl-BE"/>
              </w:rPr>
              <w:t xml:space="preserve">. </w:t>
            </w:r>
            <w:r w:rsidRPr="4269C4A0">
              <w:rPr>
                <w:u w:val="single"/>
                <w:lang w:val="en-US"/>
              </w:rPr>
              <w:t xml:space="preserve">BVR 23 </w:t>
            </w:r>
            <w:proofErr w:type="spellStart"/>
            <w:r w:rsidRPr="4269C4A0">
              <w:rPr>
                <w:u w:val="single"/>
                <w:lang w:val="en-US"/>
              </w:rPr>
              <w:t>mei</w:t>
            </w:r>
            <w:proofErr w:type="spellEnd"/>
            <w:r w:rsidRPr="4269C4A0">
              <w:rPr>
                <w:u w:val="single"/>
                <w:lang w:val="en-US"/>
              </w:rPr>
              <w:t xml:space="preserve"> 2014, art. 1, I_ 18 </w:t>
            </w:r>
            <w:proofErr w:type="spellStart"/>
            <w:r w:rsidRPr="4269C4A0">
              <w:rPr>
                <w:u w:val="single"/>
                <w:lang w:val="en-US"/>
              </w:rPr>
              <w:t>augustus</w:t>
            </w:r>
            <w:proofErr w:type="spellEnd"/>
            <w:r w:rsidRPr="4269C4A0">
              <w:rPr>
                <w:u w:val="single"/>
                <w:lang w:val="en-US"/>
              </w:rPr>
              <w:t xml:space="preserve"> 2014)] door </w:t>
            </w:r>
            <w:proofErr w:type="spellStart"/>
            <w:r w:rsidRPr="4269C4A0">
              <w:rPr>
                <w:u w:val="single"/>
                <w:lang w:val="en-US"/>
              </w:rPr>
              <w:t>instellingen</w:t>
            </w:r>
            <w:proofErr w:type="spellEnd"/>
            <w:r w:rsidRPr="4269C4A0">
              <w:rPr>
                <w:u w:val="single"/>
                <w:lang w:val="en-US"/>
              </w:rPr>
              <w:t xml:space="preserve"> van </w:t>
            </w:r>
            <w:proofErr w:type="spellStart"/>
            <w:r w:rsidRPr="4269C4A0">
              <w:rPr>
                <w:u w:val="single"/>
                <w:lang w:val="en-US"/>
              </w:rPr>
              <w:t>hoger</w:t>
            </w:r>
            <w:proofErr w:type="spellEnd"/>
            <w:r w:rsidRPr="4269C4A0">
              <w:rPr>
                <w:u w:val="single"/>
                <w:lang w:val="en-US"/>
              </w:rPr>
              <w:t xml:space="preserve"> </w:t>
            </w:r>
            <w:proofErr w:type="spellStart"/>
            <w:r w:rsidRPr="4269C4A0">
              <w:rPr>
                <w:u w:val="single"/>
                <w:lang w:val="en-US"/>
              </w:rPr>
              <w:t>onderwijs</w:t>
            </w:r>
            <w:proofErr w:type="spellEnd"/>
          </w:p>
          <w:p w14:paraId="276276FE" w14:textId="77777777" w:rsidR="00E47F28" w:rsidRPr="00027646" w:rsidRDefault="00CB19F6" w:rsidP="00E47F28">
            <w:pPr>
              <w:pStyle w:val="Lijstalinea"/>
              <w:numPr>
                <w:ilvl w:val="0"/>
                <w:numId w:val="18"/>
              </w:numPr>
              <w:rPr>
                <w:lang w:val="nl-BE"/>
              </w:rPr>
            </w:pPr>
            <w:hyperlink r:id="rId39">
              <w:r w:rsidR="00E47F28" w:rsidRPr="3C31F17B">
                <w:rPr>
                  <w:rStyle w:val="Hyperlink"/>
                  <w:lang w:val="nl-BE"/>
                </w:rPr>
                <w:t>CLUS-CSBO</w:t>
              </w:r>
            </w:hyperlink>
          </w:p>
          <w:p w14:paraId="25293E60" w14:textId="6AE6FF30" w:rsidR="348F51EF" w:rsidRDefault="348F51EF" w:rsidP="4269C4A0">
            <w:pPr>
              <w:pStyle w:val="Lijstalinea"/>
              <w:numPr>
                <w:ilvl w:val="1"/>
                <w:numId w:val="18"/>
              </w:numPr>
              <w:rPr>
                <w:lang w:val="nl-BE"/>
              </w:rPr>
            </w:pPr>
            <w:r w:rsidRPr="4269C4A0">
              <w:rPr>
                <w:u w:val="single"/>
                <w:lang w:val="nl-BE"/>
              </w:rPr>
              <w:t>Annex 4a. Algemene Voorwaarden Innovatiesteun_2021.1</w:t>
            </w:r>
          </w:p>
          <w:p w14:paraId="1386DDF1" w14:textId="56DA34A0" w:rsidR="348F51EF" w:rsidRDefault="348F51EF" w:rsidP="4269C4A0">
            <w:pPr>
              <w:pStyle w:val="Lijstalinea"/>
              <w:numPr>
                <w:ilvl w:val="1"/>
                <w:numId w:val="18"/>
              </w:numPr>
              <w:rPr>
                <w:lang w:val="nl-BE"/>
              </w:rPr>
            </w:pPr>
            <w:r w:rsidRPr="4269C4A0">
              <w:rPr>
                <w:u w:val="single"/>
                <w:lang w:val="nl-BE"/>
              </w:rPr>
              <w:t>Annex 4b. Besluit van de Vlaamse Regering [...] instelling van een financieringskanaal [...] strategisch basisonderzoek [...]</w:t>
            </w:r>
          </w:p>
          <w:p w14:paraId="36AF12F2" w14:textId="25BA9C1D" w:rsidR="348F51EF" w:rsidRDefault="348F51EF" w:rsidP="4269C4A0">
            <w:pPr>
              <w:pStyle w:val="Lijstalinea"/>
              <w:numPr>
                <w:ilvl w:val="1"/>
                <w:numId w:val="18"/>
              </w:numPr>
              <w:rPr>
                <w:u w:val="single"/>
                <w:lang w:val="en-US"/>
              </w:rPr>
            </w:pPr>
            <w:r w:rsidRPr="4269C4A0">
              <w:rPr>
                <w:u w:val="single"/>
                <w:lang w:val="en-US"/>
              </w:rPr>
              <w:t xml:space="preserve">Annex 4l. </w:t>
            </w:r>
            <w:proofErr w:type="spellStart"/>
            <w:r w:rsidRPr="4269C4A0">
              <w:rPr>
                <w:u w:val="single"/>
                <w:lang w:val="en-US"/>
              </w:rPr>
              <w:t>Handleiding</w:t>
            </w:r>
            <w:proofErr w:type="spellEnd"/>
            <w:r w:rsidRPr="4269C4A0">
              <w:rPr>
                <w:u w:val="single"/>
                <w:lang w:val="en-US"/>
              </w:rPr>
              <w:t xml:space="preserve"> CLUS-SBO</w:t>
            </w:r>
          </w:p>
          <w:p w14:paraId="077BA773" w14:textId="7C1FBA93" w:rsidR="00E47F28" w:rsidRPr="00027646" w:rsidRDefault="00CB19F6" w:rsidP="00E47F28">
            <w:pPr>
              <w:pStyle w:val="Lijstalinea"/>
              <w:numPr>
                <w:ilvl w:val="0"/>
                <w:numId w:val="18"/>
              </w:numPr>
              <w:rPr>
                <w:lang w:val="nl-BE"/>
              </w:rPr>
            </w:pPr>
            <w:hyperlink r:id="rId40">
              <w:r w:rsidR="00E47F28" w:rsidRPr="698BD538">
                <w:rPr>
                  <w:rStyle w:val="Hyperlink"/>
                  <w:lang w:val="nl-BE"/>
                </w:rPr>
                <w:t>CLUS-Landbouwtrajecten</w:t>
              </w:r>
              <w:r w:rsidR="3857292E" w:rsidRPr="73772288">
                <w:rPr>
                  <w:rStyle w:val="Hyperlink"/>
                  <w:lang w:val="nl-BE"/>
                </w:rPr>
                <w:t xml:space="preserve"> (CLUS-LATR)</w:t>
              </w:r>
            </w:hyperlink>
          </w:p>
          <w:p w14:paraId="074C626E" w14:textId="445D90D5" w:rsidR="092178AB" w:rsidRDefault="092178AB" w:rsidP="4269C4A0">
            <w:pPr>
              <w:pStyle w:val="Lijstalinea"/>
              <w:numPr>
                <w:ilvl w:val="1"/>
                <w:numId w:val="18"/>
              </w:numPr>
              <w:rPr>
                <w:lang w:val="nl-BE"/>
              </w:rPr>
            </w:pPr>
            <w:r w:rsidRPr="4269C4A0">
              <w:rPr>
                <w:u w:val="single"/>
                <w:lang w:val="nl-BE"/>
              </w:rPr>
              <w:t xml:space="preserve">Annex 4a. Algemene Voorwaarden Innovatiesteun_2021.1 </w:t>
            </w:r>
          </w:p>
          <w:p w14:paraId="562F02E8" w14:textId="24ADA14E" w:rsidR="092178AB" w:rsidRDefault="092178AB" w:rsidP="4269C4A0">
            <w:pPr>
              <w:pStyle w:val="Lijstalinea"/>
              <w:numPr>
                <w:ilvl w:val="1"/>
                <w:numId w:val="18"/>
              </w:numPr>
              <w:spacing w:after="160" w:line="259" w:lineRule="auto"/>
              <w:rPr>
                <w:lang w:val="nl-BE"/>
              </w:rPr>
            </w:pPr>
            <w:r w:rsidRPr="4269C4A0">
              <w:rPr>
                <w:u w:val="single"/>
                <w:lang w:val="nl-BE"/>
              </w:rPr>
              <w:t>Annex 4e. Besluit van de Vlaamse Regering betreffende de projectmatige financiering van [...] onderzoek voor de land en tuinbouwsector</w:t>
            </w:r>
          </w:p>
          <w:p w14:paraId="41B3BEAC" w14:textId="57F513D4" w:rsidR="092178AB" w:rsidRDefault="092178AB" w:rsidP="4269C4A0">
            <w:pPr>
              <w:pStyle w:val="Lijstalinea"/>
              <w:numPr>
                <w:ilvl w:val="1"/>
                <w:numId w:val="18"/>
              </w:numPr>
              <w:rPr>
                <w:lang w:val="nl-BE"/>
              </w:rPr>
            </w:pPr>
            <w:r w:rsidRPr="4269C4A0">
              <w:rPr>
                <w:u w:val="single"/>
              </w:rPr>
              <w:t xml:space="preserve">Annex 4h. </w:t>
            </w:r>
            <w:proofErr w:type="spellStart"/>
            <w:r w:rsidRPr="4269C4A0">
              <w:rPr>
                <w:u w:val="single"/>
                <w:lang w:val="en-US"/>
              </w:rPr>
              <w:t>Handleiding</w:t>
            </w:r>
            <w:proofErr w:type="spellEnd"/>
            <w:r w:rsidRPr="4269C4A0">
              <w:rPr>
                <w:u w:val="single"/>
                <w:lang w:val="en-US"/>
              </w:rPr>
              <w:t xml:space="preserve"> </w:t>
            </w:r>
            <w:proofErr w:type="spellStart"/>
            <w:r w:rsidRPr="4269C4A0">
              <w:rPr>
                <w:u w:val="single"/>
                <w:lang w:val="en-US"/>
              </w:rPr>
              <w:t>Landbouwtrajecten</w:t>
            </w:r>
            <w:proofErr w:type="spellEnd"/>
          </w:p>
          <w:p w14:paraId="2DD38A98" w14:textId="77777777" w:rsidR="00E47F28" w:rsidRPr="00027646" w:rsidRDefault="004C7C36" w:rsidP="00E47F28">
            <w:pPr>
              <w:pStyle w:val="Lijstalinea"/>
              <w:numPr>
                <w:ilvl w:val="0"/>
                <w:numId w:val="18"/>
              </w:numPr>
              <w:rPr>
                <w:lang w:val="nl-BE"/>
              </w:rPr>
            </w:pPr>
            <w:hyperlink r:id="rId41">
              <w:r w:rsidR="00E47F28" w:rsidRPr="698BD538">
                <w:rPr>
                  <w:rStyle w:val="Hyperlink"/>
                  <w:lang w:val="nl-BE"/>
                </w:rPr>
                <w:t>Coöperatief onderzoek clusterproject (CLUS-COOP-OND)</w:t>
              </w:r>
            </w:hyperlink>
          </w:p>
          <w:p w14:paraId="4ED3EFEF" w14:textId="32BFD926" w:rsidR="6CE1FAC7" w:rsidRDefault="6CE1FAC7" w:rsidP="4269C4A0">
            <w:pPr>
              <w:pStyle w:val="Lijstalinea"/>
              <w:numPr>
                <w:ilvl w:val="1"/>
                <w:numId w:val="18"/>
              </w:numPr>
              <w:rPr>
                <w:lang w:val="nl-BE"/>
              </w:rPr>
            </w:pPr>
            <w:r w:rsidRPr="4269C4A0">
              <w:rPr>
                <w:u w:val="single"/>
                <w:lang w:val="nl-BE"/>
              </w:rPr>
              <w:t>Annex 4a. Algemene Voorwaarden Innovatiesteun_2021.1</w:t>
            </w:r>
          </w:p>
          <w:p w14:paraId="22295543" w14:textId="5B311F4B" w:rsidR="6CE1FAC7" w:rsidRDefault="6CE1FAC7" w:rsidP="4269C4A0">
            <w:pPr>
              <w:pStyle w:val="Lijstalinea"/>
              <w:numPr>
                <w:ilvl w:val="1"/>
                <w:numId w:val="18"/>
              </w:numPr>
              <w:rPr>
                <w:lang w:val="nl-BE"/>
              </w:rPr>
            </w:pPr>
            <w:r w:rsidRPr="4269C4A0">
              <w:rPr>
                <w:u w:val="single"/>
                <w:lang w:val="nl-BE"/>
              </w:rPr>
              <w:t>Annex 4c. Besluit van de Vlaamse Regering [...] ondernemingen voor [O&amp;O] met een kennisintensief karakter in Vlaanderen</w:t>
            </w:r>
          </w:p>
          <w:p w14:paraId="14B7848C" w14:textId="4CE30639" w:rsidR="6CE1FAC7" w:rsidRDefault="6CE1FAC7" w:rsidP="4269C4A0">
            <w:pPr>
              <w:pStyle w:val="Lijstalinea"/>
              <w:numPr>
                <w:ilvl w:val="1"/>
                <w:numId w:val="18"/>
              </w:numPr>
              <w:rPr>
                <w:u w:val="single"/>
                <w:lang w:val="nl-BE"/>
              </w:rPr>
            </w:pPr>
            <w:r w:rsidRPr="4269C4A0">
              <w:rPr>
                <w:u w:val="single"/>
                <w:lang w:val="nl-BE"/>
              </w:rPr>
              <w:t>Annex 4j. Toelichtingsdocument Ontwikkelingsprojecten - Onderzoeksprojecten - O&amp;O Haalbaarheidsstudies</w:t>
            </w:r>
          </w:p>
          <w:p w14:paraId="562DED82" w14:textId="77777777" w:rsidR="00E47F28" w:rsidRDefault="004C7C36" w:rsidP="002339AE">
            <w:pPr>
              <w:pStyle w:val="Lijstalinea"/>
              <w:numPr>
                <w:ilvl w:val="0"/>
                <w:numId w:val="18"/>
              </w:numPr>
              <w:spacing w:after="160" w:line="259" w:lineRule="auto"/>
              <w:jc w:val="both"/>
              <w:rPr>
                <w:lang w:val="nl-BE"/>
              </w:rPr>
            </w:pPr>
            <w:hyperlink r:id="rId42">
              <w:r w:rsidR="00E47F28" w:rsidRPr="595AEBDD">
                <w:rPr>
                  <w:rStyle w:val="Hyperlink"/>
                  <w:lang w:val="nl-BE"/>
                </w:rPr>
                <w:t>Coöperatief ontwikkeling clusterproject (CLUS-COOP-ONTW)</w:t>
              </w:r>
            </w:hyperlink>
          </w:p>
          <w:p w14:paraId="56FC7EE8" w14:textId="0B06B23D" w:rsidR="5B68305C" w:rsidRDefault="5B68305C" w:rsidP="4269C4A0">
            <w:pPr>
              <w:pStyle w:val="Lijstalinea"/>
              <w:numPr>
                <w:ilvl w:val="1"/>
                <w:numId w:val="18"/>
              </w:numPr>
              <w:spacing w:after="160" w:line="259" w:lineRule="auto"/>
              <w:jc w:val="both"/>
              <w:rPr>
                <w:lang w:val="nl-BE"/>
              </w:rPr>
            </w:pPr>
            <w:r w:rsidRPr="4269C4A0">
              <w:rPr>
                <w:u w:val="single"/>
                <w:lang w:val="nl-BE"/>
              </w:rPr>
              <w:t>Annex 4a. Algemene Voorwaarden Innovatiesteun_2021.1</w:t>
            </w:r>
          </w:p>
          <w:p w14:paraId="65B693AC" w14:textId="4706DCFE" w:rsidR="5B68305C" w:rsidRDefault="5B68305C" w:rsidP="4269C4A0">
            <w:pPr>
              <w:pStyle w:val="Lijstalinea"/>
              <w:numPr>
                <w:ilvl w:val="1"/>
                <w:numId w:val="18"/>
              </w:numPr>
              <w:rPr>
                <w:lang w:val="nl-BE"/>
              </w:rPr>
            </w:pPr>
            <w:r w:rsidRPr="4269C4A0">
              <w:rPr>
                <w:u w:val="single"/>
                <w:lang w:val="nl-BE"/>
              </w:rPr>
              <w:t>Annex 4d. Besluit van de Vlaamse Regering [...] steun aan ondernemingen voor ontwikkeling en innovatie in Vlaanderen</w:t>
            </w:r>
          </w:p>
          <w:p w14:paraId="2A8F72AB" w14:textId="3B24D879" w:rsidR="5B68305C" w:rsidRDefault="5B68305C" w:rsidP="4269C4A0">
            <w:pPr>
              <w:pStyle w:val="Lijstalinea"/>
              <w:numPr>
                <w:ilvl w:val="1"/>
                <w:numId w:val="18"/>
              </w:numPr>
              <w:rPr>
                <w:u w:val="single"/>
                <w:lang w:val="nl-BE"/>
              </w:rPr>
            </w:pPr>
            <w:r w:rsidRPr="4269C4A0">
              <w:rPr>
                <w:u w:val="single"/>
                <w:lang w:val="nl-BE"/>
              </w:rPr>
              <w:t>Annex 4j. Toelichtingsdocument Ontwikkelingsprojecten - Onderzoeksprojecten - O&amp;O Haalbaarheidsstudies</w:t>
            </w:r>
          </w:p>
          <w:p w14:paraId="353BC768" w14:textId="37BB1565" w:rsidR="002553F1" w:rsidRPr="00C54F02" w:rsidRDefault="00C54F02" w:rsidP="00C54F02">
            <w:pPr>
              <w:pStyle w:val="Lijstalinea"/>
              <w:numPr>
                <w:ilvl w:val="0"/>
                <w:numId w:val="18"/>
              </w:numPr>
              <w:jc w:val="both"/>
              <w:rPr>
                <w:lang w:val="nl-BE"/>
              </w:rPr>
            </w:pPr>
            <w:hyperlink r:id="rId43" w:history="1">
              <w:r w:rsidRPr="00C54F02">
                <w:rPr>
                  <w:rStyle w:val="Hyperlink"/>
                  <w:lang w:val="nl-BE"/>
                </w:rPr>
                <w:t>Interdisciplinair coöperatief onderzoek clusterproject (CLUS-ICON-OND)</w:t>
              </w:r>
            </w:hyperlink>
          </w:p>
          <w:p w14:paraId="5FB4B8F9" w14:textId="53800C89" w:rsidR="3C6041AB" w:rsidRDefault="3C6041AB" w:rsidP="4269C4A0">
            <w:pPr>
              <w:pStyle w:val="Lijstalinea"/>
              <w:numPr>
                <w:ilvl w:val="1"/>
                <w:numId w:val="18"/>
              </w:numPr>
              <w:spacing w:after="160" w:line="259" w:lineRule="auto"/>
              <w:jc w:val="both"/>
              <w:rPr>
                <w:lang w:val="nl-BE"/>
              </w:rPr>
            </w:pPr>
            <w:r w:rsidRPr="4269C4A0">
              <w:rPr>
                <w:u w:val="single"/>
                <w:lang w:val="nl-BE"/>
              </w:rPr>
              <w:lastRenderedPageBreak/>
              <w:t xml:space="preserve">Annex 4a. Algemene Voorwaarden Innovatiesteun_2021.1 </w:t>
            </w:r>
          </w:p>
          <w:p w14:paraId="70EDCE3E" w14:textId="353FFF69" w:rsidR="0463AF44" w:rsidRDefault="0463AF44" w:rsidP="4269C4A0">
            <w:pPr>
              <w:pStyle w:val="Lijstalinea"/>
              <w:numPr>
                <w:ilvl w:val="1"/>
                <w:numId w:val="18"/>
              </w:numPr>
              <w:spacing w:after="160" w:line="259" w:lineRule="auto"/>
              <w:jc w:val="both"/>
              <w:rPr>
                <w:lang w:val="nl-BE"/>
              </w:rPr>
            </w:pPr>
            <w:r w:rsidRPr="4269C4A0">
              <w:rPr>
                <w:u w:val="single"/>
                <w:lang w:val="nl-BE"/>
              </w:rPr>
              <w:t>Annex 4f. Besluit van de Vlaamse Regering houdende de instelling van een financieringskanaal voor het strategisch basisonderzoek in Vlaanderen</w:t>
            </w:r>
          </w:p>
          <w:p w14:paraId="24DE240C" w14:textId="42C37C1D" w:rsidR="0463AF44" w:rsidRDefault="0463AF44" w:rsidP="4269C4A0">
            <w:pPr>
              <w:pStyle w:val="Lijstalinea"/>
              <w:numPr>
                <w:ilvl w:val="1"/>
                <w:numId w:val="18"/>
              </w:numPr>
              <w:spacing w:after="160" w:line="259" w:lineRule="auto"/>
              <w:jc w:val="both"/>
              <w:rPr>
                <w:lang w:val="nl-BE"/>
              </w:rPr>
            </w:pPr>
            <w:r w:rsidRPr="4269C4A0">
              <w:rPr>
                <w:u w:val="single"/>
                <w:lang w:val="nl-BE"/>
              </w:rPr>
              <w:t>Annex 4g. Besluit van de Vlaamse Regering tot regeling van steun aan consortia van ondernemingen voor onderzoek ontwikkeling[...]</w:t>
            </w:r>
          </w:p>
          <w:p w14:paraId="408AD8EC" w14:textId="7DFB268B" w:rsidR="0463AF44" w:rsidRDefault="0463AF44" w:rsidP="4269C4A0">
            <w:pPr>
              <w:pStyle w:val="Lijstalinea"/>
              <w:numPr>
                <w:ilvl w:val="1"/>
                <w:numId w:val="18"/>
              </w:numPr>
              <w:spacing w:after="160" w:line="259" w:lineRule="auto"/>
              <w:jc w:val="both"/>
              <w:rPr>
                <w:lang w:val="en-US"/>
              </w:rPr>
            </w:pPr>
            <w:r w:rsidRPr="4269C4A0">
              <w:rPr>
                <w:u w:val="single"/>
                <w:lang w:val="en-US"/>
              </w:rPr>
              <w:t xml:space="preserve">Annex 4k. ICON </w:t>
            </w:r>
            <w:proofErr w:type="spellStart"/>
            <w:r w:rsidRPr="4269C4A0">
              <w:rPr>
                <w:u w:val="single"/>
                <w:lang w:val="en-US"/>
              </w:rPr>
              <w:t>Toelichtingsdocument</w:t>
            </w:r>
            <w:proofErr w:type="spellEnd"/>
          </w:p>
          <w:p w14:paraId="2945FEE6" w14:textId="77777777" w:rsidR="00E47F28" w:rsidRDefault="00E47F28" w:rsidP="00E7795A">
            <w:pPr>
              <w:jc w:val="both"/>
              <w:rPr>
                <w:lang w:val="nl-BE"/>
              </w:rPr>
            </w:pPr>
          </w:p>
          <w:p w14:paraId="22023624" w14:textId="55C07A1D" w:rsidR="00E7795A" w:rsidRPr="00624B0B" w:rsidRDefault="00E7795A" w:rsidP="00E7795A">
            <w:pPr>
              <w:jc w:val="both"/>
            </w:pPr>
            <w:r w:rsidRPr="00513CFA">
              <w:t xml:space="preserve">In addition to </w:t>
            </w:r>
            <w:r w:rsidR="00513CFA" w:rsidRPr="00513CFA">
              <w:t xml:space="preserve">the </w:t>
            </w:r>
            <w:r w:rsidR="00513CFA">
              <w:t>specific legal frameworks</w:t>
            </w:r>
            <w:r w:rsidR="003C73F4">
              <w:t xml:space="preserve"> </w:t>
            </w:r>
            <w:r w:rsidR="00A800F2">
              <w:t xml:space="preserve">for the different schemes, </w:t>
            </w:r>
            <w:r w:rsidR="00A800F2" w:rsidRPr="00AE7B07">
              <w:rPr>
                <w:u w:val="single"/>
              </w:rPr>
              <w:t xml:space="preserve">Annex </w:t>
            </w:r>
            <w:r w:rsidR="10EECB63" w:rsidRPr="4269C4A0">
              <w:rPr>
                <w:u w:val="single"/>
              </w:rPr>
              <w:t>4</w:t>
            </w:r>
            <w:r w:rsidR="65C069BA" w:rsidRPr="4269C4A0">
              <w:rPr>
                <w:u w:val="single"/>
              </w:rPr>
              <w:t>a</w:t>
            </w:r>
            <w:r w:rsidR="00A800F2" w:rsidRPr="00AE7B07">
              <w:rPr>
                <w:u w:val="single"/>
              </w:rPr>
              <w:t xml:space="preserve">. </w:t>
            </w:r>
            <w:proofErr w:type="spellStart"/>
            <w:r w:rsidR="00A800F2" w:rsidRPr="008D261A">
              <w:rPr>
                <w:u w:val="single"/>
                <w:lang w:val="en-US"/>
              </w:rPr>
              <w:t>Algemene</w:t>
            </w:r>
            <w:proofErr w:type="spellEnd"/>
            <w:r w:rsidR="00A800F2" w:rsidRPr="008D261A">
              <w:rPr>
                <w:u w:val="single"/>
                <w:lang w:val="en-US"/>
              </w:rPr>
              <w:t xml:space="preserve"> </w:t>
            </w:r>
            <w:proofErr w:type="spellStart"/>
            <w:r w:rsidR="00A800F2" w:rsidRPr="008D261A">
              <w:rPr>
                <w:u w:val="single"/>
                <w:lang w:val="en-US"/>
              </w:rPr>
              <w:t>Voorwaarden</w:t>
            </w:r>
            <w:proofErr w:type="spellEnd"/>
            <w:r w:rsidR="00A800F2" w:rsidRPr="008D261A">
              <w:rPr>
                <w:u w:val="single"/>
                <w:lang w:val="en-US"/>
              </w:rPr>
              <w:t xml:space="preserve"> Innovatiesteun_2021.1</w:t>
            </w:r>
            <w:r w:rsidR="00EF425E" w:rsidRPr="0075104A">
              <w:rPr>
                <w:lang w:val="en-US"/>
              </w:rPr>
              <w:t xml:space="preserve"> </w:t>
            </w:r>
            <w:r w:rsidR="006251D2">
              <w:rPr>
                <w:lang w:val="en-US"/>
              </w:rPr>
              <w:t>is a</w:t>
            </w:r>
            <w:r w:rsidR="006251D2" w:rsidRPr="006251D2">
              <w:rPr>
                <w:lang w:val="en-US"/>
              </w:rPr>
              <w:t xml:space="preserve"> document with general terms and conditions for innovation support </w:t>
            </w:r>
            <w:r w:rsidR="006251D2">
              <w:rPr>
                <w:lang w:val="en-US"/>
              </w:rPr>
              <w:t xml:space="preserve">that </w:t>
            </w:r>
            <w:r w:rsidR="006251D2" w:rsidRPr="006251D2">
              <w:rPr>
                <w:lang w:val="en-US"/>
              </w:rPr>
              <w:t xml:space="preserve">contains an overview of </w:t>
            </w:r>
            <w:r w:rsidR="006251D2">
              <w:rPr>
                <w:lang w:val="en-US"/>
              </w:rPr>
              <w:t>the</w:t>
            </w:r>
            <w:r w:rsidR="006251D2" w:rsidRPr="006251D2">
              <w:rPr>
                <w:lang w:val="en-US"/>
              </w:rPr>
              <w:t xml:space="preserve"> </w:t>
            </w:r>
            <w:r w:rsidR="006251D2">
              <w:rPr>
                <w:lang w:val="en-US"/>
              </w:rPr>
              <w:t xml:space="preserve">general </w:t>
            </w:r>
            <w:r w:rsidR="006251D2" w:rsidRPr="006251D2">
              <w:rPr>
                <w:lang w:val="en-US"/>
              </w:rPr>
              <w:t xml:space="preserve">conditions imposed on the project applicant in the context of </w:t>
            </w:r>
            <w:r w:rsidR="006251D2">
              <w:rPr>
                <w:lang w:val="en-US"/>
              </w:rPr>
              <w:t>the grant</w:t>
            </w:r>
            <w:r w:rsidR="006251D2" w:rsidRPr="006251D2">
              <w:rPr>
                <w:lang w:val="en-US"/>
              </w:rPr>
              <w:t>. The applicant accepts these conditions upon submission of the project.</w:t>
            </w:r>
            <w:r w:rsidR="0075104A">
              <w:rPr>
                <w:u w:val="single"/>
                <w:lang w:val="en-US"/>
              </w:rPr>
              <w:t xml:space="preserve"> </w:t>
            </w:r>
          </w:p>
          <w:p w14:paraId="5A27CFC2" w14:textId="77777777" w:rsidR="00E7795A" w:rsidRPr="00513CFA" w:rsidRDefault="00E7795A" w:rsidP="00E7795A">
            <w:pPr>
              <w:jc w:val="both"/>
            </w:pPr>
          </w:p>
          <w:p w14:paraId="544FEB7B" w14:textId="77777777" w:rsidR="00E7795A" w:rsidRPr="00513CFA" w:rsidRDefault="00E7795A" w:rsidP="00E7795A">
            <w:pPr>
              <w:jc w:val="both"/>
            </w:pPr>
          </w:p>
          <w:p w14:paraId="1E61C927" w14:textId="351DD446" w:rsidR="002553F1" w:rsidRDefault="003211EB" w:rsidP="002553F1">
            <w:pPr>
              <w:jc w:val="both"/>
              <w:rPr>
                <w:b/>
                <w:bCs/>
                <w:lang w:val="en-US"/>
              </w:rPr>
            </w:pPr>
            <w:r w:rsidRPr="003211EB">
              <w:rPr>
                <w:b/>
                <w:bCs/>
                <w:lang w:val="en-US"/>
              </w:rPr>
              <w:t>5. Copy of the internal assessment guidance document explaining how compliance of each projects with the DNSH conditions set in the milestone has been assessed.</w:t>
            </w:r>
          </w:p>
          <w:p w14:paraId="4B62EDA6" w14:textId="77777777" w:rsidR="003211EB" w:rsidRDefault="003211EB" w:rsidP="002553F1">
            <w:pPr>
              <w:jc w:val="both"/>
              <w:rPr>
                <w:b/>
                <w:bCs/>
                <w:lang w:val="en-US"/>
              </w:rPr>
            </w:pPr>
          </w:p>
          <w:p w14:paraId="6B1B77AC" w14:textId="37695792" w:rsidR="00BC0305" w:rsidRDefault="00BF2913" w:rsidP="002553F1">
            <w:pPr>
              <w:jc w:val="both"/>
            </w:pPr>
            <w:r w:rsidRPr="00DD6071">
              <w:t>T</w:t>
            </w:r>
            <w:r w:rsidR="003211EB" w:rsidRPr="00DD6071">
              <w:t xml:space="preserve">he document in </w:t>
            </w:r>
            <w:r w:rsidR="003211EB" w:rsidRPr="00DD6071">
              <w:rPr>
                <w:u w:val="single"/>
              </w:rPr>
              <w:t xml:space="preserve">Annex 5. </w:t>
            </w:r>
            <w:proofErr w:type="spellStart"/>
            <w:r w:rsidR="003211EB" w:rsidRPr="00706D7E">
              <w:rPr>
                <w:u w:val="single"/>
              </w:rPr>
              <w:t>Toepassing</w:t>
            </w:r>
            <w:proofErr w:type="spellEnd"/>
            <w:r w:rsidR="003211EB" w:rsidRPr="00706D7E">
              <w:rPr>
                <w:u w:val="single"/>
              </w:rPr>
              <w:t xml:space="preserve"> DNSH - </w:t>
            </w:r>
            <w:proofErr w:type="spellStart"/>
            <w:r w:rsidR="003211EB" w:rsidRPr="00706D7E">
              <w:rPr>
                <w:u w:val="single"/>
              </w:rPr>
              <w:t>maatregel</w:t>
            </w:r>
            <w:proofErr w:type="spellEnd"/>
            <w:r w:rsidR="003211EB" w:rsidRPr="00706D7E">
              <w:rPr>
                <w:u w:val="single"/>
              </w:rPr>
              <w:t xml:space="preserve"> 5.11</w:t>
            </w:r>
            <w:r w:rsidRPr="00706D7E">
              <w:t xml:space="preserve"> describes </w:t>
            </w:r>
            <w:r w:rsidR="00706D7E" w:rsidRPr="00706D7E">
              <w:t>how compliance of each project with the DNSH conditions set in the milestone has been assessed</w:t>
            </w:r>
            <w:r w:rsidR="00706D7E">
              <w:t xml:space="preserve">. </w:t>
            </w:r>
          </w:p>
          <w:p w14:paraId="61EA103C" w14:textId="77777777" w:rsidR="00BC0305" w:rsidRDefault="00BC0305" w:rsidP="002553F1">
            <w:pPr>
              <w:jc w:val="both"/>
            </w:pPr>
          </w:p>
          <w:p w14:paraId="1F80932D" w14:textId="17CB00CA" w:rsidR="003211EB" w:rsidRDefault="001B67A5" w:rsidP="002553F1">
            <w:pPr>
              <w:jc w:val="both"/>
            </w:pPr>
            <w:r>
              <w:t>For projects award</w:t>
            </w:r>
            <w:r w:rsidR="00CC7846">
              <w:t xml:space="preserve">ed through a regular scheme, the procedure was as follows: </w:t>
            </w:r>
          </w:p>
          <w:p w14:paraId="462FC1B9" w14:textId="77777777" w:rsidR="00CC7846" w:rsidRDefault="00CC7846" w:rsidP="002553F1">
            <w:pPr>
              <w:jc w:val="both"/>
            </w:pPr>
          </w:p>
          <w:p w14:paraId="344907CE" w14:textId="247468F3" w:rsidR="00CC7846" w:rsidRPr="00CC7846" w:rsidRDefault="002C7541" w:rsidP="00CC7846">
            <w:pPr>
              <w:jc w:val="both"/>
            </w:pPr>
            <w:r>
              <w:t>O</w:t>
            </w:r>
            <w:r w:rsidRPr="00CC7846">
              <w:t xml:space="preserve">n </w:t>
            </w:r>
            <w:r>
              <w:t xml:space="preserve">the basis of </w:t>
            </w:r>
            <w:r w:rsidRPr="00CC7846">
              <w:t>the information available in the project application</w:t>
            </w:r>
            <w:r>
              <w:t>s</w:t>
            </w:r>
            <w:r w:rsidR="005E50E5">
              <w:t>, VLAIO</w:t>
            </w:r>
            <w:r w:rsidRPr="00CC7846">
              <w:t xml:space="preserve"> </w:t>
            </w:r>
            <w:r w:rsidR="005E50E5">
              <w:t>p</w:t>
            </w:r>
            <w:r w:rsidR="00CC7846" w:rsidRPr="00CC7846">
              <w:t>roject advisors assess</w:t>
            </w:r>
            <w:r w:rsidR="00CC7846">
              <w:t>ed</w:t>
            </w:r>
            <w:r w:rsidR="00CC7846" w:rsidRPr="00CC7846">
              <w:t xml:space="preserve"> </w:t>
            </w:r>
            <w:r w:rsidR="00125FEA" w:rsidRPr="00CC7846">
              <w:t>the project</w:t>
            </w:r>
            <w:r w:rsidR="00125FEA">
              <w:t>s on compliance with DNSH</w:t>
            </w:r>
            <w:r w:rsidR="00CC7846" w:rsidRPr="00CC7846">
              <w:t xml:space="preserve">. </w:t>
            </w:r>
            <w:r w:rsidR="0066623D">
              <w:t>On the basis of</w:t>
            </w:r>
            <w:r w:rsidR="00CC7846" w:rsidRPr="00CC7846">
              <w:t xml:space="preserve"> the description of the activities in the project, innovation goal, etc., the </w:t>
            </w:r>
            <w:r w:rsidR="00125FEA">
              <w:t xml:space="preserve">VLAIO </w:t>
            </w:r>
            <w:r w:rsidR="00CC7846" w:rsidRPr="00CC7846">
              <w:t>project advisor assesse</w:t>
            </w:r>
            <w:r w:rsidR="00CC7846">
              <w:t>d</w:t>
            </w:r>
            <w:r w:rsidR="00CC7846" w:rsidRPr="00CC7846">
              <w:t xml:space="preserve"> whether the project relates to the excluded activities. For the assessment, the project advisor use</w:t>
            </w:r>
            <w:r w:rsidR="00CC7846">
              <w:t>d</w:t>
            </w:r>
            <w:r w:rsidR="00CC7846" w:rsidRPr="00CC7846">
              <w:t xml:space="preserve"> </w:t>
            </w:r>
            <w:r w:rsidR="0066623D">
              <w:t>a</w:t>
            </w:r>
            <w:r w:rsidR="00CC7846" w:rsidRPr="00CC7846">
              <w:t xml:space="preserve"> “do no significant </w:t>
            </w:r>
            <w:r w:rsidR="00CC7846">
              <w:t>harm</w:t>
            </w:r>
            <w:r w:rsidR="00CC7846" w:rsidRPr="00CC7846">
              <w:t xml:space="preserve">” (DNSH) Assessment Template. This document </w:t>
            </w:r>
            <w:r w:rsidR="000F4A3A">
              <w:t>was</w:t>
            </w:r>
            <w:r w:rsidR="00CC7846" w:rsidRPr="00CC7846">
              <w:t xml:space="preserve"> </w:t>
            </w:r>
            <w:r w:rsidR="00125FEA">
              <w:t>completed</w:t>
            </w:r>
            <w:r w:rsidR="00CC7846" w:rsidRPr="00CC7846">
              <w:t xml:space="preserve"> for each of the selected projects and added as an attach</w:t>
            </w:r>
            <w:r w:rsidR="00B966AE">
              <w:t>ment in the VLAIO database</w:t>
            </w:r>
            <w:r w:rsidR="00CC7846" w:rsidRPr="00CC7846">
              <w:t>.</w:t>
            </w:r>
          </w:p>
          <w:p w14:paraId="23D223F3" w14:textId="2D966CC0" w:rsidR="00CC7846" w:rsidRPr="00CC7846" w:rsidRDefault="00CC7846" w:rsidP="00CC7846">
            <w:pPr>
              <w:jc w:val="both"/>
            </w:pPr>
            <w:r w:rsidRPr="00CC7846">
              <w:t>Project advisors use</w:t>
            </w:r>
            <w:r w:rsidR="00B966AE">
              <w:t>d</w:t>
            </w:r>
            <w:r w:rsidRPr="00CC7846">
              <w:t xml:space="preserve"> th</w:t>
            </w:r>
            <w:r w:rsidR="0066623D">
              <w:t>e</w:t>
            </w:r>
            <w:r w:rsidRPr="00CC7846">
              <w:t xml:space="preserve"> template to justify why each of the 4 excluded activities does not occur in the project. This </w:t>
            </w:r>
            <w:r w:rsidR="0066623D">
              <w:t>was</w:t>
            </w:r>
            <w:r w:rsidRPr="00CC7846">
              <w:t xml:space="preserve"> be done by briefly describing what the project relates to, indicating which measures are being taken in the field of sustainability and by describing how waste, recycling, etc. are taken into account in the project.</w:t>
            </w:r>
          </w:p>
          <w:p w14:paraId="306D1A97" w14:textId="356E6F0A" w:rsidR="00685CD4" w:rsidRPr="00ED4B20" w:rsidRDefault="001D570C" w:rsidP="00ED4B20">
            <w:pPr>
              <w:spacing w:after="160" w:line="259" w:lineRule="auto"/>
              <w:jc w:val="both"/>
              <w:rPr>
                <w:lang w:val="es-ES"/>
              </w:rPr>
            </w:pPr>
            <w:r>
              <w:t>A</w:t>
            </w:r>
            <w:r w:rsidR="00C935C0">
              <w:t>fter the approval of the project</w:t>
            </w:r>
            <w:r>
              <w:t xml:space="preserve">s a </w:t>
            </w:r>
            <w:r w:rsidR="00CC7846" w:rsidRPr="00CC7846">
              <w:t xml:space="preserve">communication </w:t>
            </w:r>
            <w:r>
              <w:t xml:space="preserve">was sent </w:t>
            </w:r>
            <w:r w:rsidR="00CC7846" w:rsidRPr="00CC7846">
              <w:t>to the project applicant</w:t>
            </w:r>
            <w:r w:rsidR="00E643BB">
              <w:t>s</w:t>
            </w:r>
            <w:r w:rsidR="00B00830">
              <w:t xml:space="preserve"> </w:t>
            </w:r>
            <w:r w:rsidR="0066623D">
              <w:t>to inform them</w:t>
            </w:r>
            <w:r w:rsidR="00275135">
              <w:t xml:space="preserve"> </w:t>
            </w:r>
            <w:r w:rsidR="00CC7846" w:rsidRPr="00CC7846">
              <w:t xml:space="preserve">that the project was assessed </w:t>
            </w:r>
            <w:r w:rsidR="00E643BB">
              <w:t>on</w:t>
            </w:r>
            <w:r w:rsidR="00CC7846" w:rsidRPr="00CC7846">
              <w:t xml:space="preserve"> DNSH </w:t>
            </w:r>
            <w:r w:rsidR="00E643BB">
              <w:t xml:space="preserve">by VLAIO </w:t>
            </w:r>
            <w:r w:rsidR="00CC7846" w:rsidRPr="00CC7846">
              <w:t>on the basis of an exclusion list</w:t>
            </w:r>
            <w:r w:rsidR="00E526EE">
              <w:t xml:space="preserve"> </w:t>
            </w:r>
            <w:r w:rsidR="00A951E7">
              <w:t xml:space="preserve">and that VLAIO concluded that the project was </w:t>
            </w:r>
            <w:r w:rsidR="00CE67E6">
              <w:t xml:space="preserve">DNSH-compliant. </w:t>
            </w:r>
            <w:r w:rsidR="00CC7846" w:rsidRPr="00CC7846">
              <w:t xml:space="preserve">In addition, the </w:t>
            </w:r>
            <w:r w:rsidR="00CE67E6">
              <w:t>condition to</w:t>
            </w:r>
            <w:r w:rsidR="00CC7846" w:rsidRPr="00CC7846">
              <w:t xml:space="preserve"> comply with the relevant EU and national environmental legislation during the implementation of the project</w:t>
            </w:r>
            <w:r w:rsidR="00125FEA">
              <w:t xml:space="preserve"> was imposed on the beneficiary</w:t>
            </w:r>
            <w:r w:rsidR="00CC7846" w:rsidRPr="00CC7846">
              <w:t>.</w:t>
            </w:r>
            <w:r w:rsidR="00027A98">
              <w:t xml:space="preserve"> </w:t>
            </w:r>
          </w:p>
        </w:tc>
      </w:tr>
    </w:tbl>
    <w:p w14:paraId="5F4A12DB" w14:textId="1B358E68" w:rsidR="00D61340" w:rsidRPr="00063C08" w:rsidRDefault="00D61340" w:rsidP="4269C4A0">
      <w:pPr>
        <w:spacing w:after="0" w:line="240" w:lineRule="auto"/>
        <w:rPr>
          <w:i/>
          <w:snapToGrid w:val="0"/>
          <w:lang w:val="en-GB"/>
        </w:rPr>
      </w:pPr>
    </w:p>
    <w:sectPr w:rsidR="00D61340" w:rsidRPr="00063C08" w:rsidSect="000328F3">
      <w:footerReference w:type="default" r:id="rId4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95B6" w14:textId="77777777" w:rsidR="008D65DD" w:rsidRDefault="008D65DD" w:rsidP="00BA4423">
      <w:pPr>
        <w:spacing w:after="0" w:line="240" w:lineRule="auto"/>
      </w:pPr>
      <w:r>
        <w:separator/>
      </w:r>
    </w:p>
  </w:endnote>
  <w:endnote w:type="continuationSeparator" w:id="0">
    <w:p w14:paraId="1B95D738" w14:textId="77777777" w:rsidR="008D65DD" w:rsidRDefault="008D65DD" w:rsidP="00BA4423">
      <w:pPr>
        <w:spacing w:after="0" w:line="240" w:lineRule="auto"/>
      </w:pPr>
      <w:r>
        <w:continuationSeparator/>
      </w:r>
    </w:p>
  </w:endnote>
  <w:endnote w:type="continuationNotice" w:id="1">
    <w:p w14:paraId="476C33C2" w14:textId="77777777" w:rsidR="008D65DD" w:rsidRDefault="008D65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995824"/>
      <w:docPartObj>
        <w:docPartGallery w:val="Page Numbers (Bottom of Page)"/>
        <w:docPartUnique/>
      </w:docPartObj>
    </w:sdtPr>
    <w:sdtEndPr/>
    <w:sdtContent>
      <w:p w14:paraId="54F4AACA" w14:textId="0FC3A48B" w:rsidR="001B4792" w:rsidRDefault="001B4792">
        <w:pPr>
          <w:pStyle w:val="Voettekst"/>
          <w:jc w:val="right"/>
        </w:pPr>
        <w:r>
          <w:fldChar w:fldCharType="begin"/>
        </w:r>
        <w:r>
          <w:instrText>PAGE   \* MERGEFORMAT</w:instrText>
        </w:r>
        <w:r>
          <w:fldChar w:fldCharType="separate"/>
        </w:r>
        <w:r>
          <w:rPr>
            <w:lang w:val="nl-NL"/>
          </w:rPr>
          <w:t>2</w:t>
        </w:r>
        <w:r>
          <w:fldChar w:fldCharType="end"/>
        </w:r>
      </w:p>
    </w:sdtContent>
  </w:sdt>
  <w:p w14:paraId="2E91466A" w14:textId="77777777" w:rsidR="001B4792" w:rsidRDefault="001B479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3074" w14:textId="77777777" w:rsidR="008D65DD" w:rsidRDefault="008D65DD" w:rsidP="00BA4423">
      <w:pPr>
        <w:spacing w:after="0" w:line="240" w:lineRule="auto"/>
      </w:pPr>
      <w:r>
        <w:separator/>
      </w:r>
    </w:p>
  </w:footnote>
  <w:footnote w:type="continuationSeparator" w:id="0">
    <w:p w14:paraId="3BE19D52" w14:textId="77777777" w:rsidR="008D65DD" w:rsidRDefault="008D65DD" w:rsidP="00BA4423">
      <w:pPr>
        <w:spacing w:after="0" w:line="240" w:lineRule="auto"/>
      </w:pPr>
      <w:r>
        <w:continuationSeparator/>
      </w:r>
    </w:p>
  </w:footnote>
  <w:footnote w:type="continuationNotice" w:id="1">
    <w:p w14:paraId="6324B516" w14:textId="77777777" w:rsidR="008D65DD" w:rsidRDefault="008D65D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6EFF1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C2D9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438DC"/>
    <w:multiLevelType w:val="hybridMultilevel"/>
    <w:tmpl w:val="3F528E5E"/>
    <w:lvl w:ilvl="0" w:tplc="0813000F">
      <w:start w:val="1"/>
      <w:numFmt w:val="decimal"/>
      <w:lvlText w:val="%1."/>
      <w:lvlJc w:val="left"/>
      <w:pPr>
        <w:ind w:left="3600" w:hanging="360"/>
      </w:pPr>
    </w:lvl>
    <w:lvl w:ilvl="1" w:tplc="08130019" w:tentative="1">
      <w:start w:val="1"/>
      <w:numFmt w:val="lowerLetter"/>
      <w:lvlText w:val="%2."/>
      <w:lvlJc w:val="left"/>
      <w:pPr>
        <w:ind w:left="4320" w:hanging="360"/>
      </w:pPr>
    </w:lvl>
    <w:lvl w:ilvl="2" w:tplc="0813001B" w:tentative="1">
      <w:start w:val="1"/>
      <w:numFmt w:val="lowerRoman"/>
      <w:lvlText w:val="%3."/>
      <w:lvlJc w:val="right"/>
      <w:pPr>
        <w:ind w:left="5040" w:hanging="180"/>
      </w:pPr>
    </w:lvl>
    <w:lvl w:ilvl="3" w:tplc="0813000F" w:tentative="1">
      <w:start w:val="1"/>
      <w:numFmt w:val="decimal"/>
      <w:lvlText w:val="%4."/>
      <w:lvlJc w:val="left"/>
      <w:pPr>
        <w:ind w:left="5760" w:hanging="360"/>
      </w:pPr>
    </w:lvl>
    <w:lvl w:ilvl="4" w:tplc="08130019" w:tentative="1">
      <w:start w:val="1"/>
      <w:numFmt w:val="lowerLetter"/>
      <w:lvlText w:val="%5."/>
      <w:lvlJc w:val="left"/>
      <w:pPr>
        <w:ind w:left="6480" w:hanging="360"/>
      </w:pPr>
    </w:lvl>
    <w:lvl w:ilvl="5" w:tplc="0813001B" w:tentative="1">
      <w:start w:val="1"/>
      <w:numFmt w:val="lowerRoman"/>
      <w:lvlText w:val="%6."/>
      <w:lvlJc w:val="right"/>
      <w:pPr>
        <w:ind w:left="7200" w:hanging="180"/>
      </w:pPr>
    </w:lvl>
    <w:lvl w:ilvl="6" w:tplc="0813000F" w:tentative="1">
      <w:start w:val="1"/>
      <w:numFmt w:val="decimal"/>
      <w:lvlText w:val="%7."/>
      <w:lvlJc w:val="left"/>
      <w:pPr>
        <w:ind w:left="7920" w:hanging="360"/>
      </w:pPr>
    </w:lvl>
    <w:lvl w:ilvl="7" w:tplc="08130019" w:tentative="1">
      <w:start w:val="1"/>
      <w:numFmt w:val="lowerLetter"/>
      <w:lvlText w:val="%8."/>
      <w:lvlJc w:val="left"/>
      <w:pPr>
        <w:ind w:left="8640" w:hanging="360"/>
      </w:pPr>
    </w:lvl>
    <w:lvl w:ilvl="8" w:tplc="0813001B" w:tentative="1">
      <w:start w:val="1"/>
      <w:numFmt w:val="lowerRoman"/>
      <w:lvlText w:val="%9."/>
      <w:lvlJc w:val="right"/>
      <w:pPr>
        <w:ind w:left="9360" w:hanging="180"/>
      </w:pPr>
    </w:lvl>
  </w:abstractNum>
  <w:abstractNum w:abstractNumId="3"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A448A5"/>
    <w:multiLevelType w:val="hybridMultilevel"/>
    <w:tmpl w:val="499C448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DD21F20"/>
    <w:multiLevelType w:val="hybridMultilevel"/>
    <w:tmpl w:val="BEC87BF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27C050C"/>
    <w:multiLevelType w:val="hybridMultilevel"/>
    <w:tmpl w:val="FA8EBFEE"/>
    <w:lvl w:ilvl="0" w:tplc="0813000F">
      <w:start w:val="1"/>
      <w:numFmt w:val="decimal"/>
      <w:lvlText w:val="%1."/>
      <w:lvlJc w:val="left"/>
      <w:pPr>
        <w:ind w:left="1428" w:hanging="360"/>
      </w:pPr>
    </w:lvl>
    <w:lvl w:ilvl="1" w:tplc="08130019">
      <w:start w:val="1"/>
      <w:numFmt w:val="lowerLetter"/>
      <w:lvlText w:val="%2."/>
      <w:lvlJc w:val="left"/>
      <w:pPr>
        <w:ind w:left="2148" w:hanging="360"/>
      </w:pPr>
    </w:lvl>
    <w:lvl w:ilvl="2" w:tplc="0813001B">
      <w:start w:val="1"/>
      <w:numFmt w:val="lowerRoman"/>
      <w:lvlText w:val="%3."/>
      <w:lvlJc w:val="right"/>
      <w:pPr>
        <w:ind w:left="2868" w:hanging="180"/>
      </w:pPr>
    </w:lvl>
    <w:lvl w:ilvl="3" w:tplc="0813000F">
      <w:start w:val="1"/>
      <w:numFmt w:val="decimal"/>
      <w:lvlText w:val="%4."/>
      <w:lvlJc w:val="left"/>
      <w:pPr>
        <w:ind w:left="3588" w:hanging="360"/>
      </w:pPr>
    </w:lvl>
    <w:lvl w:ilvl="4" w:tplc="08130019">
      <w:start w:val="1"/>
      <w:numFmt w:val="lowerLetter"/>
      <w:lvlText w:val="%5."/>
      <w:lvlJc w:val="left"/>
      <w:pPr>
        <w:ind w:left="4308" w:hanging="360"/>
      </w:pPr>
    </w:lvl>
    <w:lvl w:ilvl="5" w:tplc="0813001B">
      <w:start w:val="1"/>
      <w:numFmt w:val="lowerRoman"/>
      <w:lvlText w:val="%6."/>
      <w:lvlJc w:val="right"/>
      <w:pPr>
        <w:ind w:left="5028" w:hanging="180"/>
      </w:pPr>
    </w:lvl>
    <w:lvl w:ilvl="6" w:tplc="0813000F">
      <w:start w:val="1"/>
      <w:numFmt w:val="decimal"/>
      <w:lvlText w:val="%7."/>
      <w:lvlJc w:val="left"/>
      <w:pPr>
        <w:ind w:left="5748" w:hanging="360"/>
      </w:pPr>
    </w:lvl>
    <w:lvl w:ilvl="7" w:tplc="08130019">
      <w:start w:val="1"/>
      <w:numFmt w:val="lowerLetter"/>
      <w:lvlText w:val="%8."/>
      <w:lvlJc w:val="left"/>
      <w:pPr>
        <w:ind w:left="6468" w:hanging="360"/>
      </w:pPr>
    </w:lvl>
    <w:lvl w:ilvl="8" w:tplc="0813001B">
      <w:start w:val="1"/>
      <w:numFmt w:val="lowerRoman"/>
      <w:lvlText w:val="%9."/>
      <w:lvlJc w:val="right"/>
      <w:pPr>
        <w:ind w:left="7188" w:hanging="180"/>
      </w:pPr>
    </w:lvl>
  </w:abstractNum>
  <w:abstractNum w:abstractNumId="11" w15:restartNumberingAfterBreak="0">
    <w:nsid w:val="33644C9F"/>
    <w:multiLevelType w:val="hybridMultilevel"/>
    <w:tmpl w:val="5E6CA97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436871"/>
    <w:multiLevelType w:val="hybridMultilevel"/>
    <w:tmpl w:val="EEF0FD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BCA1BF3"/>
    <w:multiLevelType w:val="hybridMultilevel"/>
    <w:tmpl w:val="EC949D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C9A5996"/>
    <w:multiLevelType w:val="hybridMultilevel"/>
    <w:tmpl w:val="0ACEE94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5CCF0E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0C11B13"/>
    <w:multiLevelType w:val="hybridMultilevel"/>
    <w:tmpl w:val="D5E699A0"/>
    <w:lvl w:ilvl="0" w:tplc="0813000F">
      <w:start w:val="1"/>
      <w:numFmt w:val="decimal"/>
      <w:lvlText w:val="%1."/>
      <w:lvlJc w:val="left"/>
      <w:pPr>
        <w:ind w:left="3600" w:hanging="360"/>
      </w:pPr>
    </w:lvl>
    <w:lvl w:ilvl="1" w:tplc="08130019" w:tentative="1">
      <w:start w:val="1"/>
      <w:numFmt w:val="lowerLetter"/>
      <w:lvlText w:val="%2."/>
      <w:lvlJc w:val="left"/>
      <w:pPr>
        <w:ind w:left="4320" w:hanging="360"/>
      </w:pPr>
    </w:lvl>
    <w:lvl w:ilvl="2" w:tplc="0813001B" w:tentative="1">
      <w:start w:val="1"/>
      <w:numFmt w:val="lowerRoman"/>
      <w:lvlText w:val="%3."/>
      <w:lvlJc w:val="right"/>
      <w:pPr>
        <w:ind w:left="5040" w:hanging="180"/>
      </w:pPr>
    </w:lvl>
    <w:lvl w:ilvl="3" w:tplc="0813000F" w:tentative="1">
      <w:start w:val="1"/>
      <w:numFmt w:val="decimal"/>
      <w:lvlText w:val="%4."/>
      <w:lvlJc w:val="left"/>
      <w:pPr>
        <w:ind w:left="5760" w:hanging="360"/>
      </w:pPr>
    </w:lvl>
    <w:lvl w:ilvl="4" w:tplc="08130019" w:tentative="1">
      <w:start w:val="1"/>
      <w:numFmt w:val="lowerLetter"/>
      <w:lvlText w:val="%5."/>
      <w:lvlJc w:val="left"/>
      <w:pPr>
        <w:ind w:left="6480" w:hanging="360"/>
      </w:pPr>
    </w:lvl>
    <w:lvl w:ilvl="5" w:tplc="0813001B" w:tentative="1">
      <w:start w:val="1"/>
      <w:numFmt w:val="lowerRoman"/>
      <w:lvlText w:val="%6."/>
      <w:lvlJc w:val="right"/>
      <w:pPr>
        <w:ind w:left="7200" w:hanging="180"/>
      </w:pPr>
    </w:lvl>
    <w:lvl w:ilvl="6" w:tplc="0813000F" w:tentative="1">
      <w:start w:val="1"/>
      <w:numFmt w:val="decimal"/>
      <w:lvlText w:val="%7."/>
      <w:lvlJc w:val="left"/>
      <w:pPr>
        <w:ind w:left="7920" w:hanging="360"/>
      </w:pPr>
    </w:lvl>
    <w:lvl w:ilvl="7" w:tplc="08130019" w:tentative="1">
      <w:start w:val="1"/>
      <w:numFmt w:val="lowerLetter"/>
      <w:lvlText w:val="%8."/>
      <w:lvlJc w:val="left"/>
      <w:pPr>
        <w:ind w:left="8640" w:hanging="360"/>
      </w:pPr>
    </w:lvl>
    <w:lvl w:ilvl="8" w:tplc="0813001B" w:tentative="1">
      <w:start w:val="1"/>
      <w:numFmt w:val="lowerRoman"/>
      <w:lvlText w:val="%9."/>
      <w:lvlJc w:val="right"/>
      <w:pPr>
        <w:ind w:left="9360" w:hanging="180"/>
      </w:pPr>
    </w:lvl>
  </w:abstractNum>
  <w:abstractNum w:abstractNumId="20" w15:restartNumberingAfterBreak="0">
    <w:nsid w:val="610547A8"/>
    <w:multiLevelType w:val="hybridMultilevel"/>
    <w:tmpl w:val="883A98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85A6E8E"/>
    <w:multiLevelType w:val="hybridMultilevel"/>
    <w:tmpl w:val="32A2F77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61957724">
    <w:abstractNumId w:val="21"/>
  </w:num>
  <w:num w:numId="2" w16cid:durableId="1197044923">
    <w:abstractNumId w:val="15"/>
  </w:num>
  <w:num w:numId="3" w16cid:durableId="1041709458">
    <w:abstractNumId w:val="8"/>
  </w:num>
  <w:num w:numId="4" w16cid:durableId="1516649201">
    <w:abstractNumId w:val="12"/>
  </w:num>
  <w:num w:numId="5" w16cid:durableId="274294768">
    <w:abstractNumId w:val="22"/>
  </w:num>
  <w:num w:numId="6" w16cid:durableId="239872973">
    <w:abstractNumId w:val="13"/>
  </w:num>
  <w:num w:numId="7" w16cid:durableId="484320070">
    <w:abstractNumId w:val="6"/>
  </w:num>
  <w:num w:numId="8" w16cid:durableId="468598510">
    <w:abstractNumId w:val="4"/>
  </w:num>
  <w:num w:numId="9" w16cid:durableId="1534229497">
    <w:abstractNumId w:val="5"/>
  </w:num>
  <w:num w:numId="10" w16cid:durableId="118031311">
    <w:abstractNumId w:val="3"/>
  </w:num>
  <w:num w:numId="11" w16cid:durableId="964312897">
    <w:abstractNumId w:val="2"/>
  </w:num>
  <w:num w:numId="12" w16cid:durableId="456879993">
    <w:abstractNumId w:val="19"/>
  </w:num>
  <w:num w:numId="13" w16cid:durableId="827788386">
    <w:abstractNumId w:val="11"/>
  </w:num>
  <w:num w:numId="14" w16cid:durableId="2124303277">
    <w:abstractNumId w:val="23"/>
  </w:num>
  <w:num w:numId="15" w16cid:durableId="2008554478">
    <w:abstractNumId w:val="1"/>
  </w:num>
  <w:num w:numId="16" w16cid:durableId="2093433210">
    <w:abstractNumId w:val="18"/>
  </w:num>
  <w:num w:numId="17" w16cid:durableId="1097873043">
    <w:abstractNumId w:val="14"/>
  </w:num>
  <w:num w:numId="18" w16cid:durableId="2002196699">
    <w:abstractNumId w:val="9"/>
  </w:num>
  <w:num w:numId="19" w16cid:durableId="887303413">
    <w:abstractNumId w:val="16"/>
  </w:num>
  <w:num w:numId="20" w16cid:durableId="1382483212">
    <w:abstractNumId w:val="17"/>
  </w:num>
  <w:num w:numId="21" w16cid:durableId="1617247566">
    <w:abstractNumId w:val="7"/>
  </w:num>
  <w:num w:numId="22" w16cid:durableId="1249654582">
    <w:abstractNumId w:val="20"/>
  </w:num>
  <w:num w:numId="23" w16cid:durableId="1372539561">
    <w:abstractNumId w:val="0"/>
  </w:num>
  <w:num w:numId="24" w16cid:durableId="4879840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2480"/>
    <w:rsid w:val="00007C43"/>
    <w:rsid w:val="00012FA5"/>
    <w:rsid w:val="0001743B"/>
    <w:rsid w:val="0001774D"/>
    <w:rsid w:val="00023C11"/>
    <w:rsid w:val="00024512"/>
    <w:rsid w:val="00024A15"/>
    <w:rsid w:val="0002527A"/>
    <w:rsid w:val="0002761D"/>
    <w:rsid w:val="00027646"/>
    <w:rsid w:val="00027879"/>
    <w:rsid w:val="00027A98"/>
    <w:rsid w:val="00027D43"/>
    <w:rsid w:val="000301ED"/>
    <w:rsid w:val="000309F4"/>
    <w:rsid w:val="00031DC2"/>
    <w:rsid w:val="0003224B"/>
    <w:rsid w:val="000328F3"/>
    <w:rsid w:val="00034686"/>
    <w:rsid w:val="00034F7D"/>
    <w:rsid w:val="000373CB"/>
    <w:rsid w:val="0004163E"/>
    <w:rsid w:val="0004288F"/>
    <w:rsid w:val="00043637"/>
    <w:rsid w:val="00044631"/>
    <w:rsid w:val="000449AC"/>
    <w:rsid w:val="00045156"/>
    <w:rsid w:val="00045862"/>
    <w:rsid w:val="0004796D"/>
    <w:rsid w:val="0005000E"/>
    <w:rsid w:val="00051A9C"/>
    <w:rsid w:val="000543FA"/>
    <w:rsid w:val="000545A1"/>
    <w:rsid w:val="00056D07"/>
    <w:rsid w:val="00056D29"/>
    <w:rsid w:val="000617A0"/>
    <w:rsid w:val="00063C08"/>
    <w:rsid w:val="0006441B"/>
    <w:rsid w:val="000647C4"/>
    <w:rsid w:val="00066EDC"/>
    <w:rsid w:val="000706BA"/>
    <w:rsid w:val="00071247"/>
    <w:rsid w:val="00071549"/>
    <w:rsid w:val="00074EF2"/>
    <w:rsid w:val="00080C97"/>
    <w:rsid w:val="000842FE"/>
    <w:rsid w:val="00084E8D"/>
    <w:rsid w:val="00085E41"/>
    <w:rsid w:val="000867DA"/>
    <w:rsid w:val="00086AB6"/>
    <w:rsid w:val="0008C852"/>
    <w:rsid w:val="00091C25"/>
    <w:rsid w:val="00094A0D"/>
    <w:rsid w:val="000A5163"/>
    <w:rsid w:val="000A53B8"/>
    <w:rsid w:val="000A77C1"/>
    <w:rsid w:val="000B073A"/>
    <w:rsid w:val="000C0C20"/>
    <w:rsid w:val="000C4014"/>
    <w:rsid w:val="000C5D30"/>
    <w:rsid w:val="000C6B42"/>
    <w:rsid w:val="000D1193"/>
    <w:rsid w:val="000D139F"/>
    <w:rsid w:val="000D47E2"/>
    <w:rsid w:val="000D4852"/>
    <w:rsid w:val="000D513E"/>
    <w:rsid w:val="000D532B"/>
    <w:rsid w:val="000D56EA"/>
    <w:rsid w:val="000D6915"/>
    <w:rsid w:val="000D6C28"/>
    <w:rsid w:val="000D6D75"/>
    <w:rsid w:val="000E2095"/>
    <w:rsid w:val="000E687D"/>
    <w:rsid w:val="000F13BE"/>
    <w:rsid w:val="000F2FDA"/>
    <w:rsid w:val="000F3689"/>
    <w:rsid w:val="000F3BA4"/>
    <w:rsid w:val="000F4A3A"/>
    <w:rsid w:val="000F4E81"/>
    <w:rsid w:val="000F6C9C"/>
    <w:rsid w:val="000F75B4"/>
    <w:rsid w:val="000F7A81"/>
    <w:rsid w:val="000F7B43"/>
    <w:rsid w:val="00113619"/>
    <w:rsid w:val="00113CD9"/>
    <w:rsid w:val="00125FEA"/>
    <w:rsid w:val="00127315"/>
    <w:rsid w:val="001278CC"/>
    <w:rsid w:val="001302E8"/>
    <w:rsid w:val="00130914"/>
    <w:rsid w:val="00131EB7"/>
    <w:rsid w:val="00134423"/>
    <w:rsid w:val="00134757"/>
    <w:rsid w:val="00135ADA"/>
    <w:rsid w:val="001368C5"/>
    <w:rsid w:val="0014362A"/>
    <w:rsid w:val="00143DD8"/>
    <w:rsid w:val="001447A0"/>
    <w:rsid w:val="001503E2"/>
    <w:rsid w:val="00150A19"/>
    <w:rsid w:val="00154F8C"/>
    <w:rsid w:val="0015536B"/>
    <w:rsid w:val="0015574D"/>
    <w:rsid w:val="001576BD"/>
    <w:rsid w:val="00161E84"/>
    <w:rsid w:val="00164C9F"/>
    <w:rsid w:val="001661FC"/>
    <w:rsid w:val="0016628B"/>
    <w:rsid w:val="00166D3F"/>
    <w:rsid w:val="00166D6F"/>
    <w:rsid w:val="001705D8"/>
    <w:rsid w:val="00170E3D"/>
    <w:rsid w:val="00170E4C"/>
    <w:rsid w:val="00172FE2"/>
    <w:rsid w:val="00181532"/>
    <w:rsid w:val="00181574"/>
    <w:rsid w:val="00184EAA"/>
    <w:rsid w:val="0019074C"/>
    <w:rsid w:val="001928A6"/>
    <w:rsid w:val="00192BD6"/>
    <w:rsid w:val="0019498A"/>
    <w:rsid w:val="00194ADE"/>
    <w:rsid w:val="00194E91"/>
    <w:rsid w:val="00195438"/>
    <w:rsid w:val="00195735"/>
    <w:rsid w:val="00196660"/>
    <w:rsid w:val="001976ED"/>
    <w:rsid w:val="001A002D"/>
    <w:rsid w:val="001A34E2"/>
    <w:rsid w:val="001A6401"/>
    <w:rsid w:val="001A704C"/>
    <w:rsid w:val="001B0B41"/>
    <w:rsid w:val="001B1756"/>
    <w:rsid w:val="001B26B5"/>
    <w:rsid w:val="001B4779"/>
    <w:rsid w:val="001B4792"/>
    <w:rsid w:val="001B53ED"/>
    <w:rsid w:val="001B67A5"/>
    <w:rsid w:val="001B7586"/>
    <w:rsid w:val="001C26F4"/>
    <w:rsid w:val="001C318B"/>
    <w:rsid w:val="001C3AAC"/>
    <w:rsid w:val="001C3FD7"/>
    <w:rsid w:val="001C5AEE"/>
    <w:rsid w:val="001D2280"/>
    <w:rsid w:val="001D2B4D"/>
    <w:rsid w:val="001D2F35"/>
    <w:rsid w:val="001D4287"/>
    <w:rsid w:val="001D4EF6"/>
    <w:rsid w:val="001D50AD"/>
    <w:rsid w:val="001D570C"/>
    <w:rsid w:val="001D5951"/>
    <w:rsid w:val="001D671E"/>
    <w:rsid w:val="001E05B6"/>
    <w:rsid w:val="001E2A7D"/>
    <w:rsid w:val="001E6EDA"/>
    <w:rsid w:val="001F3D7C"/>
    <w:rsid w:val="001F5030"/>
    <w:rsid w:val="001F57ED"/>
    <w:rsid w:val="001F73B7"/>
    <w:rsid w:val="001F7598"/>
    <w:rsid w:val="001F77A8"/>
    <w:rsid w:val="001F7CDA"/>
    <w:rsid w:val="0020159E"/>
    <w:rsid w:val="00201876"/>
    <w:rsid w:val="00203A66"/>
    <w:rsid w:val="002116F6"/>
    <w:rsid w:val="00212D8D"/>
    <w:rsid w:val="002134A9"/>
    <w:rsid w:val="0021377C"/>
    <w:rsid w:val="00214E76"/>
    <w:rsid w:val="00220B01"/>
    <w:rsid w:val="0022235B"/>
    <w:rsid w:val="00225974"/>
    <w:rsid w:val="00225BAD"/>
    <w:rsid w:val="00225CE4"/>
    <w:rsid w:val="00234114"/>
    <w:rsid w:val="00237AB9"/>
    <w:rsid w:val="00240A11"/>
    <w:rsid w:val="00240BB8"/>
    <w:rsid w:val="002414A0"/>
    <w:rsid w:val="0024358E"/>
    <w:rsid w:val="00243DDD"/>
    <w:rsid w:val="00243EB0"/>
    <w:rsid w:val="002446DA"/>
    <w:rsid w:val="00252F3B"/>
    <w:rsid w:val="00253F36"/>
    <w:rsid w:val="0025450C"/>
    <w:rsid w:val="00254C18"/>
    <w:rsid w:val="002553E7"/>
    <w:rsid w:val="002553F1"/>
    <w:rsid w:val="002603A2"/>
    <w:rsid w:val="00261EF5"/>
    <w:rsid w:val="00264BB9"/>
    <w:rsid w:val="002658CB"/>
    <w:rsid w:val="002658E6"/>
    <w:rsid w:val="0026729D"/>
    <w:rsid w:val="0026774E"/>
    <w:rsid w:val="00271D3F"/>
    <w:rsid w:val="002729DF"/>
    <w:rsid w:val="0027501E"/>
    <w:rsid w:val="00275135"/>
    <w:rsid w:val="00277900"/>
    <w:rsid w:val="0028090B"/>
    <w:rsid w:val="00281FCB"/>
    <w:rsid w:val="0028426C"/>
    <w:rsid w:val="00290B40"/>
    <w:rsid w:val="00290D10"/>
    <w:rsid w:val="00292046"/>
    <w:rsid w:val="00293ADF"/>
    <w:rsid w:val="0029419E"/>
    <w:rsid w:val="00297677"/>
    <w:rsid w:val="002A1BC4"/>
    <w:rsid w:val="002A2F3A"/>
    <w:rsid w:val="002A3130"/>
    <w:rsid w:val="002B0AB3"/>
    <w:rsid w:val="002B189A"/>
    <w:rsid w:val="002B1BA0"/>
    <w:rsid w:val="002B2A76"/>
    <w:rsid w:val="002B2C14"/>
    <w:rsid w:val="002B3330"/>
    <w:rsid w:val="002B40F1"/>
    <w:rsid w:val="002B4931"/>
    <w:rsid w:val="002B4B8B"/>
    <w:rsid w:val="002B5D77"/>
    <w:rsid w:val="002B7479"/>
    <w:rsid w:val="002C049B"/>
    <w:rsid w:val="002C1FF2"/>
    <w:rsid w:val="002C2A71"/>
    <w:rsid w:val="002C3921"/>
    <w:rsid w:val="002C4A20"/>
    <w:rsid w:val="002C4AC2"/>
    <w:rsid w:val="002C56C0"/>
    <w:rsid w:val="002C6F52"/>
    <w:rsid w:val="002C7541"/>
    <w:rsid w:val="002C7C3A"/>
    <w:rsid w:val="002D095D"/>
    <w:rsid w:val="002D10BB"/>
    <w:rsid w:val="002D1BAC"/>
    <w:rsid w:val="002D272A"/>
    <w:rsid w:val="002D2F52"/>
    <w:rsid w:val="002E11D1"/>
    <w:rsid w:val="002F4DD4"/>
    <w:rsid w:val="002F5437"/>
    <w:rsid w:val="0030264F"/>
    <w:rsid w:val="00305E65"/>
    <w:rsid w:val="00305EED"/>
    <w:rsid w:val="00310EA1"/>
    <w:rsid w:val="00311034"/>
    <w:rsid w:val="00313068"/>
    <w:rsid w:val="0031538D"/>
    <w:rsid w:val="00315D64"/>
    <w:rsid w:val="003211EB"/>
    <w:rsid w:val="00321205"/>
    <w:rsid w:val="00322B44"/>
    <w:rsid w:val="00322EB2"/>
    <w:rsid w:val="00326473"/>
    <w:rsid w:val="00330780"/>
    <w:rsid w:val="00330786"/>
    <w:rsid w:val="00331E81"/>
    <w:rsid w:val="00333664"/>
    <w:rsid w:val="00334D54"/>
    <w:rsid w:val="00335301"/>
    <w:rsid w:val="0033652E"/>
    <w:rsid w:val="00336658"/>
    <w:rsid w:val="00343BEA"/>
    <w:rsid w:val="0034434C"/>
    <w:rsid w:val="0034467D"/>
    <w:rsid w:val="003447F3"/>
    <w:rsid w:val="003468AB"/>
    <w:rsid w:val="00346D49"/>
    <w:rsid w:val="00347802"/>
    <w:rsid w:val="00351450"/>
    <w:rsid w:val="0035209E"/>
    <w:rsid w:val="003526BE"/>
    <w:rsid w:val="00355908"/>
    <w:rsid w:val="00356750"/>
    <w:rsid w:val="00356F1E"/>
    <w:rsid w:val="003572A8"/>
    <w:rsid w:val="00361ECA"/>
    <w:rsid w:val="00362A08"/>
    <w:rsid w:val="00362A0D"/>
    <w:rsid w:val="00364C3A"/>
    <w:rsid w:val="00366638"/>
    <w:rsid w:val="0036703E"/>
    <w:rsid w:val="003674F2"/>
    <w:rsid w:val="003724C6"/>
    <w:rsid w:val="003736B9"/>
    <w:rsid w:val="00374786"/>
    <w:rsid w:val="0037577D"/>
    <w:rsid w:val="00383573"/>
    <w:rsid w:val="00386374"/>
    <w:rsid w:val="003876BE"/>
    <w:rsid w:val="003950B3"/>
    <w:rsid w:val="003A0CFF"/>
    <w:rsid w:val="003A4FEA"/>
    <w:rsid w:val="003A5C80"/>
    <w:rsid w:val="003A7459"/>
    <w:rsid w:val="003A7CE9"/>
    <w:rsid w:val="003B0782"/>
    <w:rsid w:val="003B0DDA"/>
    <w:rsid w:val="003B215E"/>
    <w:rsid w:val="003B2889"/>
    <w:rsid w:val="003B5E51"/>
    <w:rsid w:val="003B794F"/>
    <w:rsid w:val="003C168D"/>
    <w:rsid w:val="003C247A"/>
    <w:rsid w:val="003C371A"/>
    <w:rsid w:val="003C5F4E"/>
    <w:rsid w:val="003C7392"/>
    <w:rsid w:val="003C73F4"/>
    <w:rsid w:val="003D0E98"/>
    <w:rsid w:val="003D13EA"/>
    <w:rsid w:val="003D1481"/>
    <w:rsid w:val="003D28FB"/>
    <w:rsid w:val="003E2805"/>
    <w:rsid w:val="003E2BCA"/>
    <w:rsid w:val="003E3004"/>
    <w:rsid w:val="003E77CF"/>
    <w:rsid w:val="003F1FB8"/>
    <w:rsid w:val="003F255C"/>
    <w:rsid w:val="003F798F"/>
    <w:rsid w:val="004013AD"/>
    <w:rsid w:val="0040374B"/>
    <w:rsid w:val="00404EE4"/>
    <w:rsid w:val="004134C7"/>
    <w:rsid w:val="00413693"/>
    <w:rsid w:val="00414059"/>
    <w:rsid w:val="00417C4F"/>
    <w:rsid w:val="0042127B"/>
    <w:rsid w:val="00421A02"/>
    <w:rsid w:val="00422791"/>
    <w:rsid w:val="004260F7"/>
    <w:rsid w:val="004271F3"/>
    <w:rsid w:val="0043040A"/>
    <w:rsid w:val="00430936"/>
    <w:rsid w:val="00434613"/>
    <w:rsid w:val="0043745A"/>
    <w:rsid w:val="00437A74"/>
    <w:rsid w:val="004417EA"/>
    <w:rsid w:val="00441D10"/>
    <w:rsid w:val="00444DE5"/>
    <w:rsid w:val="004469C2"/>
    <w:rsid w:val="00451E84"/>
    <w:rsid w:val="0046039A"/>
    <w:rsid w:val="00462A9E"/>
    <w:rsid w:val="004632A4"/>
    <w:rsid w:val="00464921"/>
    <w:rsid w:val="004676EB"/>
    <w:rsid w:val="00473E94"/>
    <w:rsid w:val="0047423E"/>
    <w:rsid w:val="004752CA"/>
    <w:rsid w:val="00476445"/>
    <w:rsid w:val="0048027F"/>
    <w:rsid w:val="00481143"/>
    <w:rsid w:val="00481D63"/>
    <w:rsid w:val="00482582"/>
    <w:rsid w:val="004832D1"/>
    <w:rsid w:val="00487E1F"/>
    <w:rsid w:val="00490FDE"/>
    <w:rsid w:val="00492C34"/>
    <w:rsid w:val="00496A5E"/>
    <w:rsid w:val="004A1DDA"/>
    <w:rsid w:val="004A214C"/>
    <w:rsid w:val="004A36D2"/>
    <w:rsid w:val="004A59C3"/>
    <w:rsid w:val="004A5BEA"/>
    <w:rsid w:val="004A7F7B"/>
    <w:rsid w:val="004B0E70"/>
    <w:rsid w:val="004B37F8"/>
    <w:rsid w:val="004B3B9E"/>
    <w:rsid w:val="004B5D78"/>
    <w:rsid w:val="004B6AC8"/>
    <w:rsid w:val="004C0858"/>
    <w:rsid w:val="004C1B23"/>
    <w:rsid w:val="004C1D59"/>
    <w:rsid w:val="004C3B65"/>
    <w:rsid w:val="004C4FDC"/>
    <w:rsid w:val="004C6004"/>
    <w:rsid w:val="004C6785"/>
    <w:rsid w:val="004C6FCC"/>
    <w:rsid w:val="004C7C36"/>
    <w:rsid w:val="004D05C9"/>
    <w:rsid w:val="004D1C0F"/>
    <w:rsid w:val="004D54A0"/>
    <w:rsid w:val="004E1052"/>
    <w:rsid w:val="004E4240"/>
    <w:rsid w:val="004E4CCC"/>
    <w:rsid w:val="004F01E6"/>
    <w:rsid w:val="004F26F3"/>
    <w:rsid w:val="004F3535"/>
    <w:rsid w:val="004F4029"/>
    <w:rsid w:val="004F40C2"/>
    <w:rsid w:val="004F509C"/>
    <w:rsid w:val="004F70B8"/>
    <w:rsid w:val="00501C7D"/>
    <w:rsid w:val="0050390A"/>
    <w:rsid w:val="0050545A"/>
    <w:rsid w:val="00507FB0"/>
    <w:rsid w:val="005115B7"/>
    <w:rsid w:val="00511C85"/>
    <w:rsid w:val="00512026"/>
    <w:rsid w:val="00513CFA"/>
    <w:rsid w:val="005141E7"/>
    <w:rsid w:val="005143BB"/>
    <w:rsid w:val="00521DBD"/>
    <w:rsid w:val="005242E3"/>
    <w:rsid w:val="00525C00"/>
    <w:rsid w:val="005266EC"/>
    <w:rsid w:val="00527944"/>
    <w:rsid w:val="00532E0B"/>
    <w:rsid w:val="00534F66"/>
    <w:rsid w:val="0053605E"/>
    <w:rsid w:val="005371D9"/>
    <w:rsid w:val="00537DAD"/>
    <w:rsid w:val="0054165E"/>
    <w:rsid w:val="00547D3B"/>
    <w:rsid w:val="0055236B"/>
    <w:rsid w:val="005532E6"/>
    <w:rsid w:val="00560933"/>
    <w:rsid w:val="00560C1A"/>
    <w:rsid w:val="005626C0"/>
    <w:rsid w:val="00563DE5"/>
    <w:rsid w:val="00563EE8"/>
    <w:rsid w:val="00571B81"/>
    <w:rsid w:val="00574321"/>
    <w:rsid w:val="00574D38"/>
    <w:rsid w:val="0057538D"/>
    <w:rsid w:val="005763C3"/>
    <w:rsid w:val="00576DA5"/>
    <w:rsid w:val="005825CA"/>
    <w:rsid w:val="00582B1D"/>
    <w:rsid w:val="00582E4F"/>
    <w:rsid w:val="00584FBA"/>
    <w:rsid w:val="005862EF"/>
    <w:rsid w:val="00590667"/>
    <w:rsid w:val="005940D9"/>
    <w:rsid w:val="00594731"/>
    <w:rsid w:val="00594EAA"/>
    <w:rsid w:val="0059525D"/>
    <w:rsid w:val="005A2351"/>
    <w:rsid w:val="005A5951"/>
    <w:rsid w:val="005A76B2"/>
    <w:rsid w:val="005B0294"/>
    <w:rsid w:val="005B0B19"/>
    <w:rsid w:val="005B0E48"/>
    <w:rsid w:val="005B11DC"/>
    <w:rsid w:val="005B3816"/>
    <w:rsid w:val="005B62D9"/>
    <w:rsid w:val="005B6915"/>
    <w:rsid w:val="005C18C3"/>
    <w:rsid w:val="005C280F"/>
    <w:rsid w:val="005C520E"/>
    <w:rsid w:val="005C5A5F"/>
    <w:rsid w:val="005C6BE9"/>
    <w:rsid w:val="005D0CA5"/>
    <w:rsid w:val="005D3903"/>
    <w:rsid w:val="005D3C01"/>
    <w:rsid w:val="005D4442"/>
    <w:rsid w:val="005D6C32"/>
    <w:rsid w:val="005E0662"/>
    <w:rsid w:val="005E3757"/>
    <w:rsid w:val="005E49B5"/>
    <w:rsid w:val="005E50E5"/>
    <w:rsid w:val="005E51D2"/>
    <w:rsid w:val="005E71C9"/>
    <w:rsid w:val="005F2CAB"/>
    <w:rsid w:val="005F3A2D"/>
    <w:rsid w:val="0060014E"/>
    <w:rsid w:val="0060015C"/>
    <w:rsid w:val="006043A8"/>
    <w:rsid w:val="0060532F"/>
    <w:rsid w:val="0060572E"/>
    <w:rsid w:val="00611C80"/>
    <w:rsid w:val="00614DB7"/>
    <w:rsid w:val="00616255"/>
    <w:rsid w:val="00616B38"/>
    <w:rsid w:val="006170FF"/>
    <w:rsid w:val="00617BEA"/>
    <w:rsid w:val="00621D2B"/>
    <w:rsid w:val="00624B0B"/>
    <w:rsid w:val="006251D2"/>
    <w:rsid w:val="006261A3"/>
    <w:rsid w:val="006333A2"/>
    <w:rsid w:val="00633F49"/>
    <w:rsid w:val="00634BEE"/>
    <w:rsid w:val="00634ED1"/>
    <w:rsid w:val="00642F88"/>
    <w:rsid w:val="006438B6"/>
    <w:rsid w:val="00644513"/>
    <w:rsid w:val="00646337"/>
    <w:rsid w:val="00650404"/>
    <w:rsid w:val="00650DE8"/>
    <w:rsid w:val="00650FE5"/>
    <w:rsid w:val="0065200B"/>
    <w:rsid w:val="00652D8E"/>
    <w:rsid w:val="006574B6"/>
    <w:rsid w:val="00657C33"/>
    <w:rsid w:val="00660C17"/>
    <w:rsid w:val="006611CE"/>
    <w:rsid w:val="00661413"/>
    <w:rsid w:val="0066175A"/>
    <w:rsid w:val="00663042"/>
    <w:rsid w:val="0066623D"/>
    <w:rsid w:val="00667EFA"/>
    <w:rsid w:val="00671627"/>
    <w:rsid w:val="006718AA"/>
    <w:rsid w:val="00672340"/>
    <w:rsid w:val="00672ADD"/>
    <w:rsid w:val="0067425B"/>
    <w:rsid w:val="006757EB"/>
    <w:rsid w:val="00675E6D"/>
    <w:rsid w:val="00680F49"/>
    <w:rsid w:val="00681928"/>
    <w:rsid w:val="006819E7"/>
    <w:rsid w:val="006827DA"/>
    <w:rsid w:val="00685CD4"/>
    <w:rsid w:val="00686215"/>
    <w:rsid w:val="00690FE6"/>
    <w:rsid w:val="00694B99"/>
    <w:rsid w:val="00697681"/>
    <w:rsid w:val="006A0180"/>
    <w:rsid w:val="006A0371"/>
    <w:rsid w:val="006A0EDA"/>
    <w:rsid w:val="006A704A"/>
    <w:rsid w:val="006B1907"/>
    <w:rsid w:val="006B19B6"/>
    <w:rsid w:val="006B19BF"/>
    <w:rsid w:val="006B4D6B"/>
    <w:rsid w:val="006C5DEA"/>
    <w:rsid w:val="006C7630"/>
    <w:rsid w:val="006D131E"/>
    <w:rsid w:val="006D4415"/>
    <w:rsid w:val="006D65FE"/>
    <w:rsid w:val="006D68DF"/>
    <w:rsid w:val="006D71B9"/>
    <w:rsid w:val="006E2F01"/>
    <w:rsid w:val="006E35DF"/>
    <w:rsid w:val="006E3748"/>
    <w:rsid w:val="006E6802"/>
    <w:rsid w:val="006F0839"/>
    <w:rsid w:val="006F0AF5"/>
    <w:rsid w:val="006F12C1"/>
    <w:rsid w:val="006F1BE1"/>
    <w:rsid w:val="006F3BCA"/>
    <w:rsid w:val="006F444D"/>
    <w:rsid w:val="006F47DC"/>
    <w:rsid w:val="006F49D6"/>
    <w:rsid w:val="006F506D"/>
    <w:rsid w:val="006F654E"/>
    <w:rsid w:val="006F7486"/>
    <w:rsid w:val="007001A3"/>
    <w:rsid w:val="00700B46"/>
    <w:rsid w:val="00705CAE"/>
    <w:rsid w:val="00706547"/>
    <w:rsid w:val="00706D7E"/>
    <w:rsid w:val="00711EBA"/>
    <w:rsid w:val="00712440"/>
    <w:rsid w:val="0071764D"/>
    <w:rsid w:val="007211E2"/>
    <w:rsid w:val="00722288"/>
    <w:rsid w:val="007249FD"/>
    <w:rsid w:val="0072540D"/>
    <w:rsid w:val="007263E3"/>
    <w:rsid w:val="00726E92"/>
    <w:rsid w:val="00732338"/>
    <w:rsid w:val="00735003"/>
    <w:rsid w:val="007371A6"/>
    <w:rsid w:val="007419DF"/>
    <w:rsid w:val="00741DBD"/>
    <w:rsid w:val="0074273B"/>
    <w:rsid w:val="00744DB7"/>
    <w:rsid w:val="007502B9"/>
    <w:rsid w:val="0075104A"/>
    <w:rsid w:val="0075613A"/>
    <w:rsid w:val="00757733"/>
    <w:rsid w:val="007648E8"/>
    <w:rsid w:val="007661F1"/>
    <w:rsid w:val="0076664C"/>
    <w:rsid w:val="00767989"/>
    <w:rsid w:val="00771DF5"/>
    <w:rsid w:val="007720C0"/>
    <w:rsid w:val="00774308"/>
    <w:rsid w:val="007768B1"/>
    <w:rsid w:val="007833E9"/>
    <w:rsid w:val="00783883"/>
    <w:rsid w:val="00785637"/>
    <w:rsid w:val="0078700A"/>
    <w:rsid w:val="00787C47"/>
    <w:rsid w:val="00792B29"/>
    <w:rsid w:val="00793754"/>
    <w:rsid w:val="00794047"/>
    <w:rsid w:val="007A00B8"/>
    <w:rsid w:val="007A02FC"/>
    <w:rsid w:val="007A2C0B"/>
    <w:rsid w:val="007A34FC"/>
    <w:rsid w:val="007A3761"/>
    <w:rsid w:val="007A3C00"/>
    <w:rsid w:val="007A4015"/>
    <w:rsid w:val="007A55FC"/>
    <w:rsid w:val="007B1927"/>
    <w:rsid w:val="007B2B5B"/>
    <w:rsid w:val="007B2C51"/>
    <w:rsid w:val="007B7D70"/>
    <w:rsid w:val="007C766D"/>
    <w:rsid w:val="007D2D50"/>
    <w:rsid w:val="007D4111"/>
    <w:rsid w:val="007D475F"/>
    <w:rsid w:val="007D5CDD"/>
    <w:rsid w:val="007D65A0"/>
    <w:rsid w:val="007D70EA"/>
    <w:rsid w:val="007D7DC3"/>
    <w:rsid w:val="007E06C7"/>
    <w:rsid w:val="007E0A8D"/>
    <w:rsid w:val="007E1DAE"/>
    <w:rsid w:val="007E4AC2"/>
    <w:rsid w:val="007E6E13"/>
    <w:rsid w:val="007E7A18"/>
    <w:rsid w:val="007E7ED7"/>
    <w:rsid w:val="007F14A7"/>
    <w:rsid w:val="007F27DD"/>
    <w:rsid w:val="007F4AB1"/>
    <w:rsid w:val="007F4AE8"/>
    <w:rsid w:val="007F5A1A"/>
    <w:rsid w:val="007F63AD"/>
    <w:rsid w:val="00800FFF"/>
    <w:rsid w:val="00803ED1"/>
    <w:rsid w:val="0080557A"/>
    <w:rsid w:val="0080636B"/>
    <w:rsid w:val="00807735"/>
    <w:rsid w:val="00807D4D"/>
    <w:rsid w:val="00810082"/>
    <w:rsid w:val="0081081F"/>
    <w:rsid w:val="00811C0C"/>
    <w:rsid w:val="00812F33"/>
    <w:rsid w:val="00812FA2"/>
    <w:rsid w:val="0081375F"/>
    <w:rsid w:val="0081433A"/>
    <w:rsid w:val="00814C4C"/>
    <w:rsid w:val="008175B5"/>
    <w:rsid w:val="00820A8C"/>
    <w:rsid w:val="00822999"/>
    <w:rsid w:val="008254C2"/>
    <w:rsid w:val="00826B1C"/>
    <w:rsid w:val="0082745F"/>
    <w:rsid w:val="00830DED"/>
    <w:rsid w:val="00832515"/>
    <w:rsid w:val="00834139"/>
    <w:rsid w:val="00836418"/>
    <w:rsid w:val="00840962"/>
    <w:rsid w:val="008435C7"/>
    <w:rsid w:val="00843E09"/>
    <w:rsid w:val="00845705"/>
    <w:rsid w:val="008462BB"/>
    <w:rsid w:val="00851AAB"/>
    <w:rsid w:val="00854A3A"/>
    <w:rsid w:val="0085685F"/>
    <w:rsid w:val="008568FE"/>
    <w:rsid w:val="00857AB3"/>
    <w:rsid w:val="00860A21"/>
    <w:rsid w:val="0086127B"/>
    <w:rsid w:val="008619EC"/>
    <w:rsid w:val="00862298"/>
    <w:rsid w:val="00863C3B"/>
    <w:rsid w:val="00864683"/>
    <w:rsid w:val="00865DC5"/>
    <w:rsid w:val="00867767"/>
    <w:rsid w:val="008678FE"/>
    <w:rsid w:val="00872BAB"/>
    <w:rsid w:val="00872F7E"/>
    <w:rsid w:val="0088035E"/>
    <w:rsid w:val="008834B5"/>
    <w:rsid w:val="00885829"/>
    <w:rsid w:val="00886854"/>
    <w:rsid w:val="00892751"/>
    <w:rsid w:val="00892A36"/>
    <w:rsid w:val="00893D81"/>
    <w:rsid w:val="008972F2"/>
    <w:rsid w:val="00897D99"/>
    <w:rsid w:val="008A0B86"/>
    <w:rsid w:val="008A75EE"/>
    <w:rsid w:val="008B3520"/>
    <w:rsid w:val="008B41DE"/>
    <w:rsid w:val="008B4500"/>
    <w:rsid w:val="008B4EA9"/>
    <w:rsid w:val="008B5A2C"/>
    <w:rsid w:val="008B5C01"/>
    <w:rsid w:val="008C3D5D"/>
    <w:rsid w:val="008C49E2"/>
    <w:rsid w:val="008D1407"/>
    <w:rsid w:val="008D261A"/>
    <w:rsid w:val="008D2879"/>
    <w:rsid w:val="008D306F"/>
    <w:rsid w:val="008D48DF"/>
    <w:rsid w:val="008D65DD"/>
    <w:rsid w:val="008D6972"/>
    <w:rsid w:val="008E36A4"/>
    <w:rsid w:val="008E3D62"/>
    <w:rsid w:val="008E567D"/>
    <w:rsid w:val="008F00BA"/>
    <w:rsid w:val="008F1819"/>
    <w:rsid w:val="008F3168"/>
    <w:rsid w:val="008F60F0"/>
    <w:rsid w:val="008F67BD"/>
    <w:rsid w:val="009012EE"/>
    <w:rsid w:val="00903F56"/>
    <w:rsid w:val="00906885"/>
    <w:rsid w:val="0090716F"/>
    <w:rsid w:val="009078DC"/>
    <w:rsid w:val="00907DE2"/>
    <w:rsid w:val="00910154"/>
    <w:rsid w:val="009137EA"/>
    <w:rsid w:val="00915799"/>
    <w:rsid w:val="009173BD"/>
    <w:rsid w:val="00917DF5"/>
    <w:rsid w:val="00920C19"/>
    <w:rsid w:val="00921498"/>
    <w:rsid w:val="0092167B"/>
    <w:rsid w:val="0092255C"/>
    <w:rsid w:val="00922C95"/>
    <w:rsid w:val="00926D80"/>
    <w:rsid w:val="009301BD"/>
    <w:rsid w:val="009301E2"/>
    <w:rsid w:val="009305AC"/>
    <w:rsid w:val="009308F0"/>
    <w:rsid w:val="00931AED"/>
    <w:rsid w:val="0093295E"/>
    <w:rsid w:val="00932F8D"/>
    <w:rsid w:val="009406EB"/>
    <w:rsid w:val="00946D0B"/>
    <w:rsid w:val="009472DA"/>
    <w:rsid w:val="00952D56"/>
    <w:rsid w:val="009550EE"/>
    <w:rsid w:val="009558B6"/>
    <w:rsid w:val="00960325"/>
    <w:rsid w:val="00960AC7"/>
    <w:rsid w:val="009657EA"/>
    <w:rsid w:val="00966F44"/>
    <w:rsid w:val="009673F0"/>
    <w:rsid w:val="0097053B"/>
    <w:rsid w:val="00974329"/>
    <w:rsid w:val="00975B57"/>
    <w:rsid w:val="0097608F"/>
    <w:rsid w:val="00976573"/>
    <w:rsid w:val="009770B9"/>
    <w:rsid w:val="00980DE9"/>
    <w:rsid w:val="00981779"/>
    <w:rsid w:val="00983FA5"/>
    <w:rsid w:val="00984B67"/>
    <w:rsid w:val="00985E9C"/>
    <w:rsid w:val="00986527"/>
    <w:rsid w:val="00990BF4"/>
    <w:rsid w:val="00991916"/>
    <w:rsid w:val="009929FD"/>
    <w:rsid w:val="00992F0E"/>
    <w:rsid w:val="00994B43"/>
    <w:rsid w:val="00994C9C"/>
    <w:rsid w:val="00995100"/>
    <w:rsid w:val="00995629"/>
    <w:rsid w:val="00995A94"/>
    <w:rsid w:val="00996952"/>
    <w:rsid w:val="009A0C66"/>
    <w:rsid w:val="009A14EA"/>
    <w:rsid w:val="009A28A7"/>
    <w:rsid w:val="009A2E9A"/>
    <w:rsid w:val="009A30FD"/>
    <w:rsid w:val="009A459C"/>
    <w:rsid w:val="009A559D"/>
    <w:rsid w:val="009A5B73"/>
    <w:rsid w:val="009A7234"/>
    <w:rsid w:val="009B17AC"/>
    <w:rsid w:val="009B29C0"/>
    <w:rsid w:val="009B4DD5"/>
    <w:rsid w:val="009B501B"/>
    <w:rsid w:val="009B6B91"/>
    <w:rsid w:val="009B6C1C"/>
    <w:rsid w:val="009B7F5A"/>
    <w:rsid w:val="009C1890"/>
    <w:rsid w:val="009C1B25"/>
    <w:rsid w:val="009C1D6A"/>
    <w:rsid w:val="009C4F2A"/>
    <w:rsid w:val="009C53AE"/>
    <w:rsid w:val="009C74E1"/>
    <w:rsid w:val="009C762C"/>
    <w:rsid w:val="009D04C3"/>
    <w:rsid w:val="009D3C61"/>
    <w:rsid w:val="009D44AF"/>
    <w:rsid w:val="009D4E14"/>
    <w:rsid w:val="009D5E98"/>
    <w:rsid w:val="009E0399"/>
    <w:rsid w:val="009E2241"/>
    <w:rsid w:val="009E457F"/>
    <w:rsid w:val="009E618E"/>
    <w:rsid w:val="009F1A47"/>
    <w:rsid w:val="009F21FB"/>
    <w:rsid w:val="009F62E2"/>
    <w:rsid w:val="009F6B9B"/>
    <w:rsid w:val="009F7588"/>
    <w:rsid w:val="009F7BA5"/>
    <w:rsid w:val="00A00A06"/>
    <w:rsid w:val="00A024E6"/>
    <w:rsid w:val="00A05091"/>
    <w:rsid w:val="00A057D1"/>
    <w:rsid w:val="00A07D2C"/>
    <w:rsid w:val="00A1155A"/>
    <w:rsid w:val="00A1228B"/>
    <w:rsid w:val="00A12BB8"/>
    <w:rsid w:val="00A1481A"/>
    <w:rsid w:val="00A17CF0"/>
    <w:rsid w:val="00A17F65"/>
    <w:rsid w:val="00A21298"/>
    <w:rsid w:val="00A228E1"/>
    <w:rsid w:val="00A22AEF"/>
    <w:rsid w:val="00A2679D"/>
    <w:rsid w:val="00A30E6C"/>
    <w:rsid w:val="00A319D0"/>
    <w:rsid w:val="00A33A48"/>
    <w:rsid w:val="00A365AF"/>
    <w:rsid w:val="00A3696C"/>
    <w:rsid w:val="00A37341"/>
    <w:rsid w:val="00A4034A"/>
    <w:rsid w:val="00A405D6"/>
    <w:rsid w:val="00A40BBA"/>
    <w:rsid w:val="00A420C2"/>
    <w:rsid w:val="00A42120"/>
    <w:rsid w:val="00A43DEA"/>
    <w:rsid w:val="00A4404D"/>
    <w:rsid w:val="00A46858"/>
    <w:rsid w:val="00A479FA"/>
    <w:rsid w:val="00A5068B"/>
    <w:rsid w:val="00A51068"/>
    <w:rsid w:val="00A519D0"/>
    <w:rsid w:val="00A53729"/>
    <w:rsid w:val="00A56572"/>
    <w:rsid w:val="00A572F6"/>
    <w:rsid w:val="00A602CE"/>
    <w:rsid w:val="00A609FE"/>
    <w:rsid w:val="00A626A6"/>
    <w:rsid w:val="00A632A9"/>
    <w:rsid w:val="00A65BDB"/>
    <w:rsid w:val="00A65E59"/>
    <w:rsid w:val="00A71260"/>
    <w:rsid w:val="00A74B26"/>
    <w:rsid w:val="00A800F2"/>
    <w:rsid w:val="00A8098D"/>
    <w:rsid w:val="00A80E93"/>
    <w:rsid w:val="00A83DF0"/>
    <w:rsid w:val="00A842A6"/>
    <w:rsid w:val="00A85126"/>
    <w:rsid w:val="00A86F56"/>
    <w:rsid w:val="00A901BF"/>
    <w:rsid w:val="00A93672"/>
    <w:rsid w:val="00A951E7"/>
    <w:rsid w:val="00A95393"/>
    <w:rsid w:val="00AA268F"/>
    <w:rsid w:val="00AA28EF"/>
    <w:rsid w:val="00AA5741"/>
    <w:rsid w:val="00AA6877"/>
    <w:rsid w:val="00AA7C3A"/>
    <w:rsid w:val="00AA7F0F"/>
    <w:rsid w:val="00AB18EE"/>
    <w:rsid w:val="00AB3344"/>
    <w:rsid w:val="00AC1610"/>
    <w:rsid w:val="00AC3E78"/>
    <w:rsid w:val="00AC44FF"/>
    <w:rsid w:val="00AC58C3"/>
    <w:rsid w:val="00AD0B0F"/>
    <w:rsid w:val="00AD0F74"/>
    <w:rsid w:val="00AD2F4B"/>
    <w:rsid w:val="00AD658A"/>
    <w:rsid w:val="00AD6D18"/>
    <w:rsid w:val="00AD7F03"/>
    <w:rsid w:val="00AE3AB5"/>
    <w:rsid w:val="00AE52D7"/>
    <w:rsid w:val="00AE5A63"/>
    <w:rsid w:val="00AE7B07"/>
    <w:rsid w:val="00AF273B"/>
    <w:rsid w:val="00AF2B88"/>
    <w:rsid w:val="00AF3747"/>
    <w:rsid w:val="00AF62E1"/>
    <w:rsid w:val="00AF7073"/>
    <w:rsid w:val="00AF7FE1"/>
    <w:rsid w:val="00B00830"/>
    <w:rsid w:val="00B04A62"/>
    <w:rsid w:val="00B0586C"/>
    <w:rsid w:val="00B05E75"/>
    <w:rsid w:val="00B10335"/>
    <w:rsid w:val="00B1088B"/>
    <w:rsid w:val="00B1209B"/>
    <w:rsid w:val="00B138A5"/>
    <w:rsid w:val="00B14146"/>
    <w:rsid w:val="00B14DE9"/>
    <w:rsid w:val="00B17560"/>
    <w:rsid w:val="00B17EBD"/>
    <w:rsid w:val="00B22429"/>
    <w:rsid w:val="00B22E73"/>
    <w:rsid w:val="00B25985"/>
    <w:rsid w:val="00B265CE"/>
    <w:rsid w:val="00B27326"/>
    <w:rsid w:val="00B27A9F"/>
    <w:rsid w:val="00B30836"/>
    <w:rsid w:val="00B33222"/>
    <w:rsid w:val="00B33E7A"/>
    <w:rsid w:val="00B33F95"/>
    <w:rsid w:val="00B35776"/>
    <w:rsid w:val="00B358E9"/>
    <w:rsid w:val="00B35CE3"/>
    <w:rsid w:val="00B41DB4"/>
    <w:rsid w:val="00B42BAE"/>
    <w:rsid w:val="00B444D8"/>
    <w:rsid w:val="00B44E7E"/>
    <w:rsid w:val="00B46768"/>
    <w:rsid w:val="00B50773"/>
    <w:rsid w:val="00B50A8A"/>
    <w:rsid w:val="00B51C8C"/>
    <w:rsid w:val="00B53F50"/>
    <w:rsid w:val="00B5501B"/>
    <w:rsid w:val="00B55DF1"/>
    <w:rsid w:val="00B671ED"/>
    <w:rsid w:val="00B701F0"/>
    <w:rsid w:val="00B7091D"/>
    <w:rsid w:val="00B714E3"/>
    <w:rsid w:val="00B723E7"/>
    <w:rsid w:val="00B73B90"/>
    <w:rsid w:val="00B75CD4"/>
    <w:rsid w:val="00B82CD4"/>
    <w:rsid w:val="00B8307F"/>
    <w:rsid w:val="00B8407A"/>
    <w:rsid w:val="00B842A5"/>
    <w:rsid w:val="00B85F36"/>
    <w:rsid w:val="00B92C8E"/>
    <w:rsid w:val="00B94C4C"/>
    <w:rsid w:val="00B966AE"/>
    <w:rsid w:val="00B96AF7"/>
    <w:rsid w:val="00B979E9"/>
    <w:rsid w:val="00BA0001"/>
    <w:rsid w:val="00BA0DA3"/>
    <w:rsid w:val="00BA1A39"/>
    <w:rsid w:val="00BA2BAD"/>
    <w:rsid w:val="00BA2DCA"/>
    <w:rsid w:val="00BA3530"/>
    <w:rsid w:val="00BA4423"/>
    <w:rsid w:val="00BA618E"/>
    <w:rsid w:val="00BA6D43"/>
    <w:rsid w:val="00BB308D"/>
    <w:rsid w:val="00BB3290"/>
    <w:rsid w:val="00BB3419"/>
    <w:rsid w:val="00BB50DD"/>
    <w:rsid w:val="00BB7CBC"/>
    <w:rsid w:val="00BC0305"/>
    <w:rsid w:val="00BC08C4"/>
    <w:rsid w:val="00BC4A93"/>
    <w:rsid w:val="00BC4C18"/>
    <w:rsid w:val="00BC4DC4"/>
    <w:rsid w:val="00BC5D73"/>
    <w:rsid w:val="00BD1379"/>
    <w:rsid w:val="00BD1EBB"/>
    <w:rsid w:val="00BD527F"/>
    <w:rsid w:val="00BE0980"/>
    <w:rsid w:val="00BE2B09"/>
    <w:rsid w:val="00BE349E"/>
    <w:rsid w:val="00BE5A63"/>
    <w:rsid w:val="00BE6BF3"/>
    <w:rsid w:val="00BF07B2"/>
    <w:rsid w:val="00BF132E"/>
    <w:rsid w:val="00BF196C"/>
    <w:rsid w:val="00BF1FED"/>
    <w:rsid w:val="00BF2913"/>
    <w:rsid w:val="00BF6D3F"/>
    <w:rsid w:val="00C00EB6"/>
    <w:rsid w:val="00C07533"/>
    <w:rsid w:val="00C07D56"/>
    <w:rsid w:val="00C117D8"/>
    <w:rsid w:val="00C12339"/>
    <w:rsid w:val="00C1264D"/>
    <w:rsid w:val="00C14698"/>
    <w:rsid w:val="00C15256"/>
    <w:rsid w:val="00C17981"/>
    <w:rsid w:val="00C21FE3"/>
    <w:rsid w:val="00C2221C"/>
    <w:rsid w:val="00C22B39"/>
    <w:rsid w:val="00C242F9"/>
    <w:rsid w:val="00C260B3"/>
    <w:rsid w:val="00C27185"/>
    <w:rsid w:val="00C27869"/>
    <w:rsid w:val="00C3238D"/>
    <w:rsid w:val="00C32DB5"/>
    <w:rsid w:val="00C3500B"/>
    <w:rsid w:val="00C375E1"/>
    <w:rsid w:val="00C4072E"/>
    <w:rsid w:val="00C43C28"/>
    <w:rsid w:val="00C459AC"/>
    <w:rsid w:val="00C475DF"/>
    <w:rsid w:val="00C476D7"/>
    <w:rsid w:val="00C51CED"/>
    <w:rsid w:val="00C52020"/>
    <w:rsid w:val="00C52FF7"/>
    <w:rsid w:val="00C5425C"/>
    <w:rsid w:val="00C54F02"/>
    <w:rsid w:val="00C60D8C"/>
    <w:rsid w:val="00C6370D"/>
    <w:rsid w:val="00C670E9"/>
    <w:rsid w:val="00C70554"/>
    <w:rsid w:val="00C726D7"/>
    <w:rsid w:val="00C746ED"/>
    <w:rsid w:val="00C74B1C"/>
    <w:rsid w:val="00C74DF7"/>
    <w:rsid w:val="00C75E02"/>
    <w:rsid w:val="00C8066D"/>
    <w:rsid w:val="00C8384B"/>
    <w:rsid w:val="00C84217"/>
    <w:rsid w:val="00C84A2F"/>
    <w:rsid w:val="00C86D48"/>
    <w:rsid w:val="00C872C5"/>
    <w:rsid w:val="00C87C7A"/>
    <w:rsid w:val="00C9146C"/>
    <w:rsid w:val="00C91643"/>
    <w:rsid w:val="00C91E41"/>
    <w:rsid w:val="00C92689"/>
    <w:rsid w:val="00C935C0"/>
    <w:rsid w:val="00C93CDE"/>
    <w:rsid w:val="00C9417A"/>
    <w:rsid w:val="00C960B5"/>
    <w:rsid w:val="00C97826"/>
    <w:rsid w:val="00CA0A5D"/>
    <w:rsid w:val="00CA11EB"/>
    <w:rsid w:val="00CA1E16"/>
    <w:rsid w:val="00CA457C"/>
    <w:rsid w:val="00CA5115"/>
    <w:rsid w:val="00CA6A0D"/>
    <w:rsid w:val="00CB19F6"/>
    <w:rsid w:val="00CB5E08"/>
    <w:rsid w:val="00CC037B"/>
    <w:rsid w:val="00CC2800"/>
    <w:rsid w:val="00CC4600"/>
    <w:rsid w:val="00CC7696"/>
    <w:rsid w:val="00CC7846"/>
    <w:rsid w:val="00CD0807"/>
    <w:rsid w:val="00CD352C"/>
    <w:rsid w:val="00CD3F1D"/>
    <w:rsid w:val="00CD3F91"/>
    <w:rsid w:val="00CD4ACD"/>
    <w:rsid w:val="00CD6D7F"/>
    <w:rsid w:val="00CE0141"/>
    <w:rsid w:val="00CE1E34"/>
    <w:rsid w:val="00CE4973"/>
    <w:rsid w:val="00CE67E6"/>
    <w:rsid w:val="00CF1AD0"/>
    <w:rsid w:val="00CF2665"/>
    <w:rsid w:val="00CF3386"/>
    <w:rsid w:val="00D001BA"/>
    <w:rsid w:val="00D01698"/>
    <w:rsid w:val="00D02961"/>
    <w:rsid w:val="00D05840"/>
    <w:rsid w:val="00D05C76"/>
    <w:rsid w:val="00D06276"/>
    <w:rsid w:val="00D0792C"/>
    <w:rsid w:val="00D12C5F"/>
    <w:rsid w:val="00D14729"/>
    <w:rsid w:val="00D14805"/>
    <w:rsid w:val="00D163D7"/>
    <w:rsid w:val="00D166EC"/>
    <w:rsid w:val="00D16FE1"/>
    <w:rsid w:val="00D20791"/>
    <w:rsid w:val="00D213C5"/>
    <w:rsid w:val="00D22A23"/>
    <w:rsid w:val="00D2332D"/>
    <w:rsid w:val="00D245C7"/>
    <w:rsid w:val="00D24B16"/>
    <w:rsid w:val="00D24E18"/>
    <w:rsid w:val="00D25D3D"/>
    <w:rsid w:val="00D3346D"/>
    <w:rsid w:val="00D350DE"/>
    <w:rsid w:val="00D356AE"/>
    <w:rsid w:val="00D37680"/>
    <w:rsid w:val="00D42685"/>
    <w:rsid w:val="00D43668"/>
    <w:rsid w:val="00D45986"/>
    <w:rsid w:val="00D45F30"/>
    <w:rsid w:val="00D47231"/>
    <w:rsid w:val="00D47B0A"/>
    <w:rsid w:val="00D50314"/>
    <w:rsid w:val="00D51037"/>
    <w:rsid w:val="00D53792"/>
    <w:rsid w:val="00D544AC"/>
    <w:rsid w:val="00D5616E"/>
    <w:rsid w:val="00D56697"/>
    <w:rsid w:val="00D60FF1"/>
    <w:rsid w:val="00D61203"/>
    <w:rsid w:val="00D61340"/>
    <w:rsid w:val="00D61600"/>
    <w:rsid w:val="00D64CC0"/>
    <w:rsid w:val="00D64D09"/>
    <w:rsid w:val="00D724A4"/>
    <w:rsid w:val="00D73432"/>
    <w:rsid w:val="00D74BA0"/>
    <w:rsid w:val="00D802B8"/>
    <w:rsid w:val="00D81555"/>
    <w:rsid w:val="00D820EC"/>
    <w:rsid w:val="00D826AE"/>
    <w:rsid w:val="00D85DB3"/>
    <w:rsid w:val="00D85EEA"/>
    <w:rsid w:val="00D904BA"/>
    <w:rsid w:val="00D95439"/>
    <w:rsid w:val="00D957AC"/>
    <w:rsid w:val="00DA0269"/>
    <w:rsid w:val="00DA16E4"/>
    <w:rsid w:val="00DA3300"/>
    <w:rsid w:val="00DA5914"/>
    <w:rsid w:val="00DA68D4"/>
    <w:rsid w:val="00DB5E45"/>
    <w:rsid w:val="00DC03E1"/>
    <w:rsid w:val="00DC0797"/>
    <w:rsid w:val="00DC30CE"/>
    <w:rsid w:val="00DC534E"/>
    <w:rsid w:val="00DC71B7"/>
    <w:rsid w:val="00DC7A14"/>
    <w:rsid w:val="00DD0D8B"/>
    <w:rsid w:val="00DD1D2C"/>
    <w:rsid w:val="00DD502D"/>
    <w:rsid w:val="00DD6071"/>
    <w:rsid w:val="00DD741B"/>
    <w:rsid w:val="00DE3704"/>
    <w:rsid w:val="00DE5A5D"/>
    <w:rsid w:val="00DE6BCD"/>
    <w:rsid w:val="00DE7533"/>
    <w:rsid w:val="00DE7C32"/>
    <w:rsid w:val="00DF0274"/>
    <w:rsid w:val="00DF12A0"/>
    <w:rsid w:val="00DF6B1D"/>
    <w:rsid w:val="00DF6C4A"/>
    <w:rsid w:val="00DF70A8"/>
    <w:rsid w:val="00DF7355"/>
    <w:rsid w:val="00DF7924"/>
    <w:rsid w:val="00DF7DBC"/>
    <w:rsid w:val="00E02759"/>
    <w:rsid w:val="00E03108"/>
    <w:rsid w:val="00E111FF"/>
    <w:rsid w:val="00E12918"/>
    <w:rsid w:val="00E1327D"/>
    <w:rsid w:val="00E13485"/>
    <w:rsid w:val="00E16A3C"/>
    <w:rsid w:val="00E16C70"/>
    <w:rsid w:val="00E17D1C"/>
    <w:rsid w:val="00E26456"/>
    <w:rsid w:val="00E314F8"/>
    <w:rsid w:val="00E32823"/>
    <w:rsid w:val="00E343EF"/>
    <w:rsid w:val="00E36279"/>
    <w:rsid w:val="00E3645F"/>
    <w:rsid w:val="00E43586"/>
    <w:rsid w:val="00E44478"/>
    <w:rsid w:val="00E47972"/>
    <w:rsid w:val="00E47F28"/>
    <w:rsid w:val="00E5034B"/>
    <w:rsid w:val="00E51BAF"/>
    <w:rsid w:val="00E526EE"/>
    <w:rsid w:val="00E559C7"/>
    <w:rsid w:val="00E56C32"/>
    <w:rsid w:val="00E57BC6"/>
    <w:rsid w:val="00E6176F"/>
    <w:rsid w:val="00E61A23"/>
    <w:rsid w:val="00E62C9E"/>
    <w:rsid w:val="00E63C43"/>
    <w:rsid w:val="00E643BB"/>
    <w:rsid w:val="00E64507"/>
    <w:rsid w:val="00E75B13"/>
    <w:rsid w:val="00E7639B"/>
    <w:rsid w:val="00E7795A"/>
    <w:rsid w:val="00E80942"/>
    <w:rsid w:val="00E809B6"/>
    <w:rsid w:val="00E8109B"/>
    <w:rsid w:val="00E835D9"/>
    <w:rsid w:val="00E87651"/>
    <w:rsid w:val="00E920EF"/>
    <w:rsid w:val="00E942D7"/>
    <w:rsid w:val="00E94D78"/>
    <w:rsid w:val="00EA0FA0"/>
    <w:rsid w:val="00EA2E4B"/>
    <w:rsid w:val="00EA3F13"/>
    <w:rsid w:val="00EA46AE"/>
    <w:rsid w:val="00EA4F5B"/>
    <w:rsid w:val="00EA5586"/>
    <w:rsid w:val="00EA65EC"/>
    <w:rsid w:val="00EA6DA9"/>
    <w:rsid w:val="00EA7624"/>
    <w:rsid w:val="00EB141A"/>
    <w:rsid w:val="00EB217B"/>
    <w:rsid w:val="00EB515C"/>
    <w:rsid w:val="00EB5417"/>
    <w:rsid w:val="00EB5AD7"/>
    <w:rsid w:val="00EB5AED"/>
    <w:rsid w:val="00EB5D82"/>
    <w:rsid w:val="00EB6C97"/>
    <w:rsid w:val="00EC1547"/>
    <w:rsid w:val="00EC20F7"/>
    <w:rsid w:val="00EC61F7"/>
    <w:rsid w:val="00EC6F18"/>
    <w:rsid w:val="00ED4B20"/>
    <w:rsid w:val="00ED5564"/>
    <w:rsid w:val="00ED5AE5"/>
    <w:rsid w:val="00ED7A07"/>
    <w:rsid w:val="00EE1003"/>
    <w:rsid w:val="00EE2896"/>
    <w:rsid w:val="00EE2DF7"/>
    <w:rsid w:val="00EE4112"/>
    <w:rsid w:val="00EE5246"/>
    <w:rsid w:val="00EE7B53"/>
    <w:rsid w:val="00EF1DA3"/>
    <w:rsid w:val="00EF2704"/>
    <w:rsid w:val="00EF425E"/>
    <w:rsid w:val="00EF6121"/>
    <w:rsid w:val="00EF7C8D"/>
    <w:rsid w:val="00F01E77"/>
    <w:rsid w:val="00F02901"/>
    <w:rsid w:val="00F04749"/>
    <w:rsid w:val="00F06380"/>
    <w:rsid w:val="00F11AEC"/>
    <w:rsid w:val="00F12379"/>
    <w:rsid w:val="00F15971"/>
    <w:rsid w:val="00F20C7F"/>
    <w:rsid w:val="00F21E94"/>
    <w:rsid w:val="00F22388"/>
    <w:rsid w:val="00F23D6D"/>
    <w:rsid w:val="00F25AEF"/>
    <w:rsid w:val="00F26602"/>
    <w:rsid w:val="00F313A0"/>
    <w:rsid w:val="00F33491"/>
    <w:rsid w:val="00F33CDF"/>
    <w:rsid w:val="00F33CEB"/>
    <w:rsid w:val="00F366EA"/>
    <w:rsid w:val="00F36ACA"/>
    <w:rsid w:val="00F36CF0"/>
    <w:rsid w:val="00F40833"/>
    <w:rsid w:val="00F420C9"/>
    <w:rsid w:val="00F4354F"/>
    <w:rsid w:val="00F45A59"/>
    <w:rsid w:val="00F5066B"/>
    <w:rsid w:val="00F523E2"/>
    <w:rsid w:val="00F5416E"/>
    <w:rsid w:val="00F5420F"/>
    <w:rsid w:val="00F54572"/>
    <w:rsid w:val="00F56CDA"/>
    <w:rsid w:val="00F64361"/>
    <w:rsid w:val="00F7462A"/>
    <w:rsid w:val="00F84DBB"/>
    <w:rsid w:val="00F9120D"/>
    <w:rsid w:val="00F91B2C"/>
    <w:rsid w:val="00F941A9"/>
    <w:rsid w:val="00F9518A"/>
    <w:rsid w:val="00F957A3"/>
    <w:rsid w:val="00F95B85"/>
    <w:rsid w:val="00F9622A"/>
    <w:rsid w:val="00FA0878"/>
    <w:rsid w:val="00FA20B3"/>
    <w:rsid w:val="00FA2D8B"/>
    <w:rsid w:val="00FA4910"/>
    <w:rsid w:val="00FA4EB9"/>
    <w:rsid w:val="00FA5B52"/>
    <w:rsid w:val="00FA6AC8"/>
    <w:rsid w:val="00FA6C74"/>
    <w:rsid w:val="00FA7CB4"/>
    <w:rsid w:val="00FB12DC"/>
    <w:rsid w:val="00FB2C91"/>
    <w:rsid w:val="00FB36E5"/>
    <w:rsid w:val="00FB3C48"/>
    <w:rsid w:val="00FB438A"/>
    <w:rsid w:val="00FB53A7"/>
    <w:rsid w:val="00FB53E2"/>
    <w:rsid w:val="00FB5815"/>
    <w:rsid w:val="00FB6104"/>
    <w:rsid w:val="00FB71E6"/>
    <w:rsid w:val="00FC0142"/>
    <w:rsid w:val="00FC2528"/>
    <w:rsid w:val="00FC314E"/>
    <w:rsid w:val="00FC36A2"/>
    <w:rsid w:val="00FC3A51"/>
    <w:rsid w:val="00FC40F4"/>
    <w:rsid w:val="00FC5909"/>
    <w:rsid w:val="00FC5998"/>
    <w:rsid w:val="00FD2325"/>
    <w:rsid w:val="00FD2E9F"/>
    <w:rsid w:val="00FD5F5B"/>
    <w:rsid w:val="00FD7D76"/>
    <w:rsid w:val="00FE1526"/>
    <w:rsid w:val="00FE37E8"/>
    <w:rsid w:val="00FE3ED0"/>
    <w:rsid w:val="00FE4B41"/>
    <w:rsid w:val="00FE577F"/>
    <w:rsid w:val="00FE5B76"/>
    <w:rsid w:val="00FE6EE3"/>
    <w:rsid w:val="00FF20D9"/>
    <w:rsid w:val="00FF37DB"/>
    <w:rsid w:val="00FF3E6C"/>
    <w:rsid w:val="00FF4210"/>
    <w:rsid w:val="00FF51C9"/>
    <w:rsid w:val="00FF66E2"/>
    <w:rsid w:val="00FF6E4F"/>
    <w:rsid w:val="00FF7147"/>
    <w:rsid w:val="011CDC08"/>
    <w:rsid w:val="014D2453"/>
    <w:rsid w:val="01610885"/>
    <w:rsid w:val="018FB6EA"/>
    <w:rsid w:val="01EB082F"/>
    <w:rsid w:val="02539312"/>
    <w:rsid w:val="0265FA19"/>
    <w:rsid w:val="02BA5DBB"/>
    <w:rsid w:val="02C1B4C9"/>
    <w:rsid w:val="0390DCC0"/>
    <w:rsid w:val="03D26A1E"/>
    <w:rsid w:val="04011C46"/>
    <w:rsid w:val="040ED76C"/>
    <w:rsid w:val="041BC6BD"/>
    <w:rsid w:val="0463AF44"/>
    <w:rsid w:val="04B9D5BC"/>
    <w:rsid w:val="04C9CAED"/>
    <w:rsid w:val="04DFB94E"/>
    <w:rsid w:val="0503A84C"/>
    <w:rsid w:val="0541476E"/>
    <w:rsid w:val="058338F6"/>
    <w:rsid w:val="05DAE6BC"/>
    <w:rsid w:val="0654772D"/>
    <w:rsid w:val="067FF369"/>
    <w:rsid w:val="06E2A4B9"/>
    <w:rsid w:val="077DCAB3"/>
    <w:rsid w:val="07BB39BE"/>
    <w:rsid w:val="082DE222"/>
    <w:rsid w:val="085CA293"/>
    <w:rsid w:val="08CFE960"/>
    <w:rsid w:val="092178AB"/>
    <w:rsid w:val="09503D76"/>
    <w:rsid w:val="098D46DF"/>
    <w:rsid w:val="09A02750"/>
    <w:rsid w:val="09C70991"/>
    <w:rsid w:val="0B3E71F6"/>
    <w:rsid w:val="0BA2A084"/>
    <w:rsid w:val="0C0FE71B"/>
    <w:rsid w:val="0C56296C"/>
    <w:rsid w:val="0C63386A"/>
    <w:rsid w:val="0CEE359B"/>
    <w:rsid w:val="0D03E72B"/>
    <w:rsid w:val="0D0AFFF6"/>
    <w:rsid w:val="0D9EBC64"/>
    <w:rsid w:val="0DCAE3E8"/>
    <w:rsid w:val="0DF5B1F7"/>
    <w:rsid w:val="0E1E3D71"/>
    <w:rsid w:val="0E44A1B9"/>
    <w:rsid w:val="0F4C25AA"/>
    <w:rsid w:val="0FE24024"/>
    <w:rsid w:val="107FEA7C"/>
    <w:rsid w:val="10CED542"/>
    <w:rsid w:val="10EECB63"/>
    <w:rsid w:val="110D7DD5"/>
    <w:rsid w:val="110FED9B"/>
    <w:rsid w:val="111B5EAD"/>
    <w:rsid w:val="1247BE9E"/>
    <w:rsid w:val="12F1AE94"/>
    <w:rsid w:val="1331CD07"/>
    <w:rsid w:val="133E7160"/>
    <w:rsid w:val="1371C02C"/>
    <w:rsid w:val="1425E91D"/>
    <w:rsid w:val="148FEB50"/>
    <w:rsid w:val="155D3497"/>
    <w:rsid w:val="15D3D454"/>
    <w:rsid w:val="161251F8"/>
    <w:rsid w:val="161DF833"/>
    <w:rsid w:val="1625D71A"/>
    <w:rsid w:val="168C0E5A"/>
    <w:rsid w:val="172E7A1E"/>
    <w:rsid w:val="182AC114"/>
    <w:rsid w:val="1837FEA6"/>
    <w:rsid w:val="1849D3EA"/>
    <w:rsid w:val="1878C035"/>
    <w:rsid w:val="19230D10"/>
    <w:rsid w:val="1932B33B"/>
    <w:rsid w:val="198EBE1C"/>
    <w:rsid w:val="1A5DC8B3"/>
    <w:rsid w:val="1ABAA7F4"/>
    <w:rsid w:val="1B472890"/>
    <w:rsid w:val="1B678142"/>
    <w:rsid w:val="1BB69B5E"/>
    <w:rsid w:val="1BD3BECF"/>
    <w:rsid w:val="1BE1092A"/>
    <w:rsid w:val="1CE7407C"/>
    <w:rsid w:val="1CFCA927"/>
    <w:rsid w:val="1D0351A3"/>
    <w:rsid w:val="1D38FA44"/>
    <w:rsid w:val="1D3CF034"/>
    <w:rsid w:val="1D9E48EF"/>
    <w:rsid w:val="1E385777"/>
    <w:rsid w:val="1E60E18E"/>
    <w:rsid w:val="1E6674F0"/>
    <w:rsid w:val="1E6D59C1"/>
    <w:rsid w:val="1EF0D66E"/>
    <w:rsid w:val="1FB7093F"/>
    <w:rsid w:val="1FD2E64F"/>
    <w:rsid w:val="1FE9520C"/>
    <w:rsid w:val="200DA0CC"/>
    <w:rsid w:val="2019662D"/>
    <w:rsid w:val="205E3CF4"/>
    <w:rsid w:val="20617C14"/>
    <w:rsid w:val="2163660E"/>
    <w:rsid w:val="21B2D23A"/>
    <w:rsid w:val="21B3E690"/>
    <w:rsid w:val="21B650E9"/>
    <w:rsid w:val="21CA112C"/>
    <w:rsid w:val="2226BDB3"/>
    <w:rsid w:val="2243A73B"/>
    <w:rsid w:val="2287312F"/>
    <w:rsid w:val="22DF0E5E"/>
    <w:rsid w:val="235C38E4"/>
    <w:rsid w:val="237A2653"/>
    <w:rsid w:val="23A7268E"/>
    <w:rsid w:val="23BDAE2A"/>
    <w:rsid w:val="23BDC82B"/>
    <w:rsid w:val="23C74948"/>
    <w:rsid w:val="23F2531B"/>
    <w:rsid w:val="2449CA21"/>
    <w:rsid w:val="24B6A4D2"/>
    <w:rsid w:val="25208BCE"/>
    <w:rsid w:val="257E3D55"/>
    <w:rsid w:val="25A93954"/>
    <w:rsid w:val="2675EBEC"/>
    <w:rsid w:val="2688F1DC"/>
    <w:rsid w:val="271834B8"/>
    <w:rsid w:val="27311BC2"/>
    <w:rsid w:val="27DFEA60"/>
    <w:rsid w:val="27F09D44"/>
    <w:rsid w:val="27F4D4A3"/>
    <w:rsid w:val="28A48F81"/>
    <w:rsid w:val="297A0811"/>
    <w:rsid w:val="298B3DAA"/>
    <w:rsid w:val="29A70C68"/>
    <w:rsid w:val="29B4A2C8"/>
    <w:rsid w:val="2A51AE78"/>
    <w:rsid w:val="2A5753F4"/>
    <w:rsid w:val="2AA11CD0"/>
    <w:rsid w:val="2AF979A5"/>
    <w:rsid w:val="2B028110"/>
    <w:rsid w:val="2B19DA6F"/>
    <w:rsid w:val="2B34662C"/>
    <w:rsid w:val="2B3F58B9"/>
    <w:rsid w:val="2CA19842"/>
    <w:rsid w:val="2CF76A18"/>
    <w:rsid w:val="2D017ADD"/>
    <w:rsid w:val="2D98D840"/>
    <w:rsid w:val="2DAF5778"/>
    <w:rsid w:val="2DDA1F53"/>
    <w:rsid w:val="2DF9A133"/>
    <w:rsid w:val="2E0293E6"/>
    <w:rsid w:val="2E1D72BE"/>
    <w:rsid w:val="2E37B0C4"/>
    <w:rsid w:val="2F099B48"/>
    <w:rsid w:val="2F8868EB"/>
    <w:rsid w:val="2F92EBE7"/>
    <w:rsid w:val="2FE7E425"/>
    <w:rsid w:val="30058825"/>
    <w:rsid w:val="306D9673"/>
    <w:rsid w:val="308B9B75"/>
    <w:rsid w:val="30AC5815"/>
    <w:rsid w:val="30CEA88C"/>
    <w:rsid w:val="314B5932"/>
    <w:rsid w:val="317C7C24"/>
    <w:rsid w:val="31A8BA25"/>
    <w:rsid w:val="321C1AB4"/>
    <w:rsid w:val="32491E3B"/>
    <w:rsid w:val="326111A3"/>
    <w:rsid w:val="329BB294"/>
    <w:rsid w:val="32EA47EB"/>
    <w:rsid w:val="32FEA239"/>
    <w:rsid w:val="33506730"/>
    <w:rsid w:val="33798721"/>
    <w:rsid w:val="348F51EF"/>
    <w:rsid w:val="350088A5"/>
    <w:rsid w:val="35094D0F"/>
    <w:rsid w:val="351191A6"/>
    <w:rsid w:val="3552B2A7"/>
    <w:rsid w:val="358E8F38"/>
    <w:rsid w:val="35D544BB"/>
    <w:rsid w:val="3600A5FE"/>
    <w:rsid w:val="36243E72"/>
    <w:rsid w:val="363F63DE"/>
    <w:rsid w:val="367017FF"/>
    <w:rsid w:val="367BD0FE"/>
    <w:rsid w:val="36AC4C42"/>
    <w:rsid w:val="36C7B859"/>
    <w:rsid w:val="36D61D3E"/>
    <w:rsid w:val="36E5809C"/>
    <w:rsid w:val="370F57E0"/>
    <w:rsid w:val="381BD7A6"/>
    <w:rsid w:val="384D4B1D"/>
    <w:rsid w:val="3857292E"/>
    <w:rsid w:val="38F6E174"/>
    <w:rsid w:val="39A1DAEF"/>
    <w:rsid w:val="3A2142F8"/>
    <w:rsid w:val="3A5A5D98"/>
    <w:rsid w:val="3A759861"/>
    <w:rsid w:val="3A809025"/>
    <w:rsid w:val="3A952629"/>
    <w:rsid w:val="3A964BF9"/>
    <w:rsid w:val="3AAF540F"/>
    <w:rsid w:val="3AD763FB"/>
    <w:rsid w:val="3BC49B32"/>
    <w:rsid w:val="3C31F17B"/>
    <w:rsid w:val="3C34A645"/>
    <w:rsid w:val="3C6041AB"/>
    <w:rsid w:val="3CDE2119"/>
    <w:rsid w:val="3D249C79"/>
    <w:rsid w:val="3D3A9145"/>
    <w:rsid w:val="3D3EB492"/>
    <w:rsid w:val="3DCD742C"/>
    <w:rsid w:val="3E173D44"/>
    <w:rsid w:val="3E212F2D"/>
    <w:rsid w:val="3E3479CB"/>
    <w:rsid w:val="3F25F7E2"/>
    <w:rsid w:val="3F37E302"/>
    <w:rsid w:val="3F7BB41F"/>
    <w:rsid w:val="3F8C82BD"/>
    <w:rsid w:val="3FA9465F"/>
    <w:rsid w:val="3FC4A152"/>
    <w:rsid w:val="3FD40962"/>
    <w:rsid w:val="4037B759"/>
    <w:rsid w:val="407CAE48"/>
    <w:rsid w:val="408BA7C3"/>
    <w:rsid w:val="408F6FCD"/>
    <w:rsid w:val="40905197"/>
    <w:rsid w:val="40E14CA9"/>
    <w:rsid w:val="4134C898"/>
    <w:rsid w:val="414516C0"/>
    <w:rsid w:val="41B1AE5C"/>
    <w:rsid w:val="42468766"/>
    <w:rsid w:val="4269C4A0"/>
    <w:rsid w:val="431E217B"/>
    <w:rsid w:val="432A3BB5"/>
    <w:rsid w:val="432B5E46"/>
    <w:rsid w:val="43B10F31"/>
    <w:rsid w:val="43EC8F01"/>
    <w:rsid w:val="446E145C"/>
    <w:rsid w:val="448049A6"/>
    <w:rsid w:val="453D5D5C"/>
    <w:rsid w:val="4553A46B"/>
    <w:rsid w:val="46C44487"/>
    <w:rsid w:val="470ED5B4"/>
    <w:rsid w:val="47A9351B"/>
    <w:rsid w:val="47F40EF8"/>
    <w:rsid w:val="488DBBB0"/>
    <w:rsid w:val="48E4E35A"/>
    <w:rsid w:val="49878028"/>
    <w:rsid w:val="499745CB"/>
    <w:rsid w:val="49B1F01F"/>
    <w:rsid w:val="4A62302F"/>
    <w:rsid w:val="4B1370CD"/>
    <w:rsid w:val="4B26F029"/>
    <w:rsid w:val="4B2BE935"/>
    <w:rsid w:val="4B69A4CC"/>
    <w:rsid w:val="4C9397F9"/>
    <w:rsid w:val="4CAA8E0A"/>
    <w:rsid w:val="4D291462"/>
    <w:rsid w:val="4D635C28"/>
    <w:rsid w:val="4D686B97"/>
    <w:rsid w:val="4D694C34"/>
    <w:rsid w:val="4DC0BA3F"/>
    <w:rsid w:val="4E2D7AB4"/>
    <w:rsid w:val="4E6A2BD5"/>
    <w:rsid w:val="4E8D0CA3"/>
    <w:rsid w:val="4EEB8A5B"/>
    <w:rsid w:val="4FB217D8"/>
    <w:rsid w:val="4FB478D6"/>
    <w:rsid w:val="4FF80EFF"/>
    <w:rsid w:val="4FF9838B"/>
    <w:rsid w:val="501D2ED3"/>
    <w:rsid w:val="50374236"/>
    <w:rsid w:val="50708F35"/>
    <w:rsid w:val="50A36E4D"/>
    <w:rsid w:val="511243AF"/>
    <w:rsid w:val="51F23082"/>
    <w:rsid w:val="5291BD8F"/>
    <w:rsid w:val="52B79432"/>
    <w:rsid w:val="52C10641"/>
    <w:rsid w:val="536FDD2D"/>
    <w:rsid w:val="537F79E9"/>
    <w:rsid w:val="53BDA767"/>
    <w:rsid w:val="53DB6CC7"/>
    <w:rsid w:val="53E27610"/>
    <w:rsid w:val="54064E48"/>
    <w:rsid w:val="547EB736"/>
    <w:rsid w:val="54C3ECAB"/>
    <w:rsid w:val="54C49319"/>
    <w:rsid w:val="54C8168A"/>
    <w:rsid w:val="550B955F"/>
    <w:rsid w:val="5536832C"/>
    <w:rsid w:val="55A01AD8"/>
    <w:rsid w:val="55D433C4"/>
    <w:rsid w:val="55D71449"/>
    <w:rsid w:val="55EDC89B"/>
    <w:rsid w:val="5602FA55"/>
    <w:rsid w:val="56153358"/>
    <w:rsid w:val="568CC621"/>
    <w:rsid w:val="56F7D685"/>
    <w:rsid w:val="57DAB1FE"/>
    <w:rsid w:val="57F40589"/>
    <w:rsid w:val="5810403B"/>
    <w:rsid w:val="58412311"/>
    <w:rsid w:val="58C8B765"/>
    <w:rsid w:val="592D0933"/>
    <w:rsid w:val="595AEBDD"/>
    <w:rsid w:val="59C563B7"/>
    <w:rsid w:val="5A19CE60"/>
    <w:rsid w:val="5A5C0F27"/>
    <w:rsid w:val="5A9F6FF9"/>
    <w:rsid w:val="5B234869"/>
    <w:rsid w:val="5B68305C"/>
    <w:rsid w:val="5BA72671"/>
    <w:rsid w:val="5BEE0386"/>
    <w:rsid w:val="5C0168B7"/>
    <w:rsid w:val="5CA3F121"/>
    <w:rsid w:val="5CCDA202"/>
    <w:rsid w:val="5E043735"/>
    <w:rsid w:val="5E1405B3"/>
    <w:rsid w:val="5E2D1331"/>
    <w:rsid w:val="5EA174A5"/>
    <w:rsid w:val="5F24559A"/>
    <w:rsid w:val="5F5735EB"/>
    <w:rsid w:val="5F5F295C"/>
    <w:rsid w:val="5F72D743"/>
    <w:rsid w:val="5FEC8669"/>
    <w:rsid w:val="5FFF56B9"/>
    <w:rsid w:val="601CB0E0"/>
    <w:rsid w:val="604007EC"/>
    <w:rsid w:val="607250FA"/>
    <w:rsid w:val="60B8BB16"/>
    <w:rsid w:val="60C9B0B5"/>
    <w:rsid w:val="6121A8E3"/>
    <w:rsid w:val="612E8D9C"/>
    <w:rsid w:val="614D6CDD"/>
    <w:rsid w:val="61B87B7A"/>
    <w:rsid w:val="625CFD13"/>
    <w:rsid w:val="62755B27"/>
    <w:rsid w:val="62B06C52"/>
    <w:rsid w:val="62C0A802"/>
    <w:rsid w:val="62CAB80C"/>
    <w:rsid w:val="6304E376"/>
    <w:rsid w:val="631531F1"/>
    <w:rsid w:val="633F852F"/>
    <w:rsid w:val="6369EC40"/>
    <w:rsid w:val="637A1B88"/>
    <w:rsid w:val="63FBC1D1"/>
    <w:rsid w:val="640D5AFE"/>
    <w:rsid w:val="64112BCD"/>
    <w:rsid w:val="6412C9B7"/>
    <w:rsid w:val="6420F227"/>
    <w:rsid w:val="64378147"/>
    <w:rsid w:val="64F74BD8"/>
    <w:rsid w:val="655A21F4"/>
    <w:rsid w:val="65A617DC"/>
    <w:rsid w:val="65B2092F"/>
    <w:rsid w:val="65C069BA"/>
    <w:rsid w:val="668FECE3"/>
    <w:rsid w:val="66F07C74"/>
    <w:rsid w:val="6722CF05"/>
    <w:rsid w:val="6768806C"/>
    <w:rsid w:val="67748250"/>
    <w:rsid w:val="678D9CC7"/>
    <w:rsid w:val="679F7D60"/>
    <w:rsid w:val="67E8A314"/>
    <w:rsid w:val="6834621A"/>
    <w:rsid w:val="683DBE2D"/>
    <w:rsid w:val="684EC633"/>
    <w:rsid w:val="698BD538"/>
    <w:rsid w:val="699D590B"/>
    <w:rsid w:val="69B40D5D"/>
    <w:rsid w:val="69CB1543"/>
    <w:rsid w:val="6A07BA05"/>
    <w:rsid w:val="6A68BF9B"/>
    <w:rsid w:val="6A77C231"/>
    <w:rsid w:val="6AAB5CAE"/>
    <w:rsid w:val="6B642F2F"/>
    <w:rsid w:val="6B9FEB73"/>
    <w:rsid w:val="6BC8A237"/>
    <w:rsid w:val="6C8DA6C5"/>
    <w:rsid w:val="6CE1FAC7"/>
    <w:rsid w:val="6CF839C4"/>
    <w:rsid w:val="6CFF020B"/>
    <w:rsid w:val="6D3722B6"/>
    <w:rsid w:val="6D5F52A2"/>
    <w:rsid w:val="6DC0AB5E"/>
    <w:rsid w:val="6DCBCDFE"/>
    <w:rsid w:val="6E51CA2A"/>
    <w:rsid w:val="6E9EBE90"/>
    <w:rsid w:val="6F19FBF4"/>
    <w:rsid w:val="6F1E62E8"/>
    <w:rsid w:val="6F240379"/>
    <w:rsid w:val="6F569DD0"/>
    <w:rsid w:val="6F91B289"/>
    <w:rsid w:val="70CE39D9"/>
    <w:rsid w:val="70DDDC41"/>
    <w:rsid w:val="713AFA6B"/>
    <w:rsid w:val="71AE697A"/>
    <w:rsid w:val="722901BA"/>
    <w:rsid w:val="7258287B"/>
    <w:rsid w:val="727224BE"/>
    <w:rsid w:val="729C8A7B"/>
    <w:rsid w:val="731BDAFE"/>
    <w:rsid w:val="73772288"/>
    <w:rsid w:val="749BA1A3"/>
    <w:rsid w:val="74BFA258"/>
    <w:rsid w:val="753D8CDA"/>
    <w:rsid w:val="75447775"/>
    <w:rsid w:val="755E2F9A"/>
    <w:rsid w:val="75B1ED48"/>
    <w:rsid w:val="75C589B3"/>
    <w:rsid w:val="76577BBF"/>
    <w:rsid w:val="7669CC5B"/>
    <w:rsid w:val="7682CC5E"/>
    <w:rsid w:val="76BBF3A7"/>
    <w:rsid w:val="76BE8426"/>
    <w:rsid w:val="770559B7"/>
    <w:rsid w:val="771C2434"/>
    <w:rsid w:val="77245300"/>
    <w:rsid w:val="77717AD4"/>
    <w:rsid w:val="77A44BAA"/>
    <w:rsid w:val="77A8F85C"/>
    <w:rsid w:val="7825E75B"/>
    <w:rsid w:val="78627B28"/>
    <w:rsid w:val="795B29B2"/>
    <w:rsid w:val="796D0EF5"/>
    <w:rsid w:val="798DDA47"/>
    <w:rsid w:val="79F73F14"/>
    <w:rsid w:val="7A732F50"/>
    <w:rsid w:val="7AFF762B"/>
    <w:rsid w:val="7B97CFFA"/>
    <w:rsid w:val="7C3AC1B4"/>
    <w:rsid w:val="7C5A837C"/>
    <w:rsid w:val="7CE85078"/>
    <w:rsid w:val="7D2DCA43"/>
    <w:rsid w:val="7DBF8677"/>
    <w:rsid w:val="7E138D2E"/>
    <w:rsid w:val="7EE8BF6B"/>
    <w:rsid w:val="7F298973"/>
    <w:rsid w:val="7F7DCC86"/>
    <w:rsid w:val="7FBF2D08"/>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7F28"/>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paragraph" w:styleId="Voetnoottekst">
    <w:name w:val="footnote text"/>
    <w:aliases w:val="Schriftart: 9 pt,Schriftart: 10 pt,Schriftart: 8 pt,WB-Fußnotentext,FoodNote,ft,Footnote text,Footnote,Footnote Text Char1,Footnote Text Char Char,Footnote Text Char1 Char Char,Footnote Text Char Char Char Char,fn,Char"/>
    <w:basedOn w:val="Standaard"/>
    <w:link w:val="VoetnoottekstChar1"/>
    <w:uiPriority w:val="99"/>
    <w:unhideWhenUsed/>
    <w:rsid w:val="004E1052"/>
    <w:pPr>
      <w:spacing w:after="0" w:line="240" w:lineRule="auto"/>
      <w:ind w:left="720" w:hanging="720"/>
      <w:jc w:val="both"/>
    </w:pPr>
    <w:rPr>
      <w:rFonts w:ascii="Times New Roman" w:hAnsi="Times New Roman" w:cs="Times New Roman"/>
      <w:sz w:val="20"/>
      <w:szCs w:val="20"/>
      <w:lang w:val="en-GB"/>
    </w:rPr>
  </w:style>
  <w:style w:type="character" w:customStyle="1" w:styleId="VoetnoottekstChar">
    <w:name w:val="Voetnoottekst Char"/>
    <w:basedOn w:val="Standaardalinea-lettertype"/>
    <w:uiPriority w:val="99"/>
    <w:semiHidden/>
    <w:rsid w:val="004E1052"/>
    <w:rPr>
      <w:sz w:val="20"/>
      <w:szCs w:val="20"/>
    </w:rPr>
  </w:style>
  <w:style w:type="character" w:customStyle="1" w:styleId="VoetnoottekstChar1">
    <w:name w:val="Voetnoottekst Char1"/>
    <w:aliases w:val="Schriftart: 9 pt Char,Schriftart: 10 pt Char,Schriftart: 8 pt Char,WB-Fußnotentext Char,FoodNote Char,ft Char,Footnote text Char,Footnote Char,Footnote Text Char1 Char,Footnote Text Char Char Char,Footnote Text Char1 Char Char Char"/>
    <w:basedOn w:val="Standaardalinea-lettertype"/>
    <w:link w:val="Voetnoottekst"/>
    <w:uiPriority w:val="99"/>
    <w:rsid w:val="004E1052"/>
    <w:rPr>
      <w:rFonts w:ascii="Times New Roman" w:hAnsi="Times New Roman" w:cs="Times New Roman"/>
      <w:sz w:val="20"/>
      <w:szCs w:val="20"/>
      <w:lang w:val="en-GB"/>
    </w:rPr>
  </w:style>
  <w:style w:type="character" w:styleId="Voetnootmarkering">
    <w:name w:val="footnote reference"/>
    <w:aliases w:val="number,SUPERS,BVI fnr,Footnote symbol,Footnote symboFußnotenzeichen,Footnote sign,Footnote Reference Superscript,Footnote number,-E Fußnotenzeichen,EN Footnote Reference,-E Fuﬂnotenzeichen,-E Fuûnotenzeichen,stylish,(Footnote Referen"/>
    <w:basedOn w:val="Standaardalinea-lettertype"/>
    <w:link w:val="SUPERSChar"/>
    <w:uiPriority w:val="99"/>
    <w:unhideWhenUsed/>
    <w:qFormat/>
    <w:rsid w:val="004E1052"/>
    <w:rPr>
      <w:vertAlign w:val="superscript"/>
    </w:rPr>
  </w:style>
  <w:style w:type="paragraph" w:customStyle="1" w:styleId="Text1">
    <w:name w:val="Text 1"/>
    <w:basedOn w:val="Standaard"/>
    <w:rsid w:val="004E1052"/>
    <w:pPr>
      <w:spacing w:before="120" w:after="120" w:line="240" w:lineRule="auto"/>
      <w:ind w:left="850"/>
      <w:jc w:val="both"/>
    </w:pPr>
    <w:rPr>
      <w:rFonts w:ascii="Times New Roman" w:hAnsi="Times New Roman" w:cs="Times New Roman"/>
      <w:sz w:val="24"/>
      <w:lang w:val="en-GB"/>
    </w:rPr>
  </w:style>
  <w:style w:type="paragraph" w:customStyle="1" w:styleId="SUPERSChar">
    <w:name w:val="SUPERS Char"/>
    <w:aliases w:val="EN Footnote Reference Char"/>
    <w:basedOn w:val="Standaard"/>
    <w:link w:val="Voetnootmarkering"/>
    <w:uiPriority w:val="99"/>
    <w:rsid w:val="004E1052"/>
    <w:pPr>
      <w:widowControl w:val="0"/>
      <w:adjustRightInd w:val="0"/>
      <w:spacing w:line="240" w:lineRule="exact"/>
      <w:jc w:val="both"/>
    </w:pPr>
    <w:rPr>
      <w:vertAlign w:val="superscript"/>
    </w:rPr>
  </w:style>
  <w:style w:type="paragraph" w:styleId="Koptekst">
    <w:name w:val="header"/>
    <w:basedOn w:val="Standaard"/>
    <w:link w:val="KoptekstChar"/>
    <w:uiPriority w:val="99"/>
    <w:unhideWhenUsed/>
    <w:rsid w:val="001B47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4792"/>
  </w:style>
  <w:style w:type="paragraph" w:styleId="Voettekst">
    <w:name w:val="footer"/>
    <w:basedOn w:val="Standaard"/>
    <w:link w:val="VoettekstChar"/>
    <w:uiPriority w:val="99"/>
    <w:unhideWhenUsed/>
    <w:rsid w:val="001B479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4792"/>
  </w:style>
  <w:style w:type="character" w:styleId="Onopgelostemelding">
    <w:name w:val="Unresolved Mention"/>
    <w:basedOn w:val="Standaardalinea-lettertype"/>
    <w:uiPriority w:val="99"/>
    <w:semiHidden/>
    <w:unhideWhenUsed/>
    <w:rsid w:val="00027646"/>
    <w:rPr>
      <w:color w:val="605E5C"/>
      <w:shd w:val="clear" w:color="auto" w:fill="E1DFDD"/>
    </w:rPr>
  </w:style>
  <w:style w:type="character" w:styleId="GevolgdeHyperlink">
    <w:name w:val="FollowedHyperlink"/>
    <w:basedOn w:val="Standaardalinea-lettertype"/>
    <w:uiPriority w:val="99"/>
    <w:semiHidden/>
    <w:unhideWhenUsed/>
    <w:rsid w:val="00344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232">
      <w:bodyDiv w:val="1"/>
      <w:marLeft w:val="0"/>
      <w:marRight w:val="0"/>
      <w:marTop w:val="0"/>
      <w:marBottom w:val="0"/>
      <w:divBdr>
        <w:top w:val="none" w:sz="0" w:space="0" w:color="auto"/>
        <w:left w:val="none" w:sz="0" w:space="0" w:color="auto"/>
        <w:bottom w:val="none" w:sz="0" w:space="0" w:color="auto"/>
        <w:right w:val="none" w:sz="0" w:space="0" w:color="auto"/>
      </w:divBdr>
    </w:div>
    <w:div w:id="46344721">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10354752">
      <w:bodyDiv w:val="1"/>
      <w:marLeft w:val="0"/>
      <w:marRight w:val="0"/>
      <w:marTop w:val="0"/>
      <w:marBottom w:val="0"/>
      <w:divBdr>
        <w:top w:val="none" w:sz="0" w:space="0" w:color="auto"/>
        <w:left w:val="none" w:sz="0" w:space="0" w:color="auto"/>
        <w:bottom w:val="none" w:sz="0" w:space="0" w:color="auto"/>
        <w:right w:val="none" w:sz="0" w:space="0" w:color="auto"/>
      </w:divBdr>
    </w:div>
    <w:div w:id="743529167">
      <w:bodyDiv w:val="1"/>
      <w:marLeft w:val="0"/>
      <w:marRight w:val="0"/>
      <w:marTop w:val="0"/>
      <w:marBottom w:val="0"/>
      <w:divBdr>
        <w:top w:val="none" w:sz="0" w:space="0" w:color="auto"/>
        <w:left w:val="none" w:sz="0" w:space="0" w:color="auto"/>
        <w:bottom w:val="none" w:sz="0" w:space="0" w:color="auto"/>
        <w:right w:val="none" w:sz="0" w:space="0" w:color="auto"/>
      </w:divBdr>
    </w:div>
    <w:div w:id="771583914">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222600473">
      <w:bodyDiv w:val="1"/>
      <w:marLeft w:val="0"/>
      <w:marRight w:val="0"/>
      <w:marTop w:val="0"/>
      <w:marBottom w:val="0"/>
      <w:divBdr>
        <w:top w:val="none" w:sz="0" w:space="0" w:color="auto"/>
        <w:left w:val="none" w:sz="0" w:space="0" w:color="auto"/>
        <w:bottom w:val="none" w:sz="0" w:space="0" w:color="auto"/>
        <w:right w:val="none" w:sz="0" w:space="0" w:color="auto"/>
      </w:divBdr>
    </w:div>
    <w:div w:id="1322932564">
      <w:bodyDiv w:val="1"/>
      <w:marLeft w:val="0"/>
      <w:marRight w:val="0"/>
      <w:marTop w:val="0"/>
      <w:marBottom w:val="0"/>
      <w:divBdr>
        <w:top w:val="none" w:sz="0" w:space="0" w:color="auto"/>
        <w:left w:val="none" w:sz="0" w:space="0" w:color="auto"/>
        <w:bottom w:val="none" w:sz="0" w:space="0" w:color="auto"/>
        <w:right w:val="none" w:sz="0" w:space="0" w:color="auto"/>
      </w:divBdr>
    </w:div>
    <w:div w:id="1396275419">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890603643">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 w:id="199860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laio.be/nl/subsidies-financiering/oo-haalbaarheidsstudie" TargetMode="External"/><Relationship Id="rId18" Type="http://schemas.openxmlformats.org/officeDocument/2006/relationships/hyperlink" Target="https://www.vlaio.be/nl/vlaio-netwerk/projecten-voor-speerpuntclusters/innovatieprojecten-van-speerpuntclusters" TargetMode="External"/><Relationship Id="rId26" Type="http://schemas.openxmlformats.org/officeDocument/2006/relationships/hyperlink" Target="https://www.vlaio.be/nl/media/1784" TargetMode="External"/><Relationship Id="rId39" Type="http://schemas.openxmlformats.org/officeDocument/2006/relationships/hyperlink" Target="https://www.vlaio.be/nl/vlaio-netwerk/projecten-voor-speerpuntclusters/innovatieprojecten-van-speerpuntclusters" TargetMode="External"/><Relationship Id="rId21" Type="http://schemas.openxmlformats.org/officeDocument/2006/relationships/hyperlink" Target="https://www.vlaio.be/nl/subsidies-financiering/piloottrajecten-bio-gebaseerde-toepassingen" TargetMode="External"/><Relationship Id="rId34" Type="http://schemas.openxmlformats.org/officeDocument/2006/relationships/hyperlink" Target="https://www.vlaio.be/nl/subsidies-financiering/onderzoeksproject" TargetMode="External"/><Relationship Id="rId42" Type="http://schemas.openxmlformats.org/officeDocument/2006/relationships/hyperlink" Target="https://www.vlaio.be/nl/vlaio-netwerk/projecten-voor-speerpuntclusters/innovatieprojecten-van-speerpuntcluster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vlaio.be/nl/vlaio-netwerk/projecten-voor-speerpuntclusters/innovatieprojecten-van-speerpuntclusters" TargetMode="External"/><Relationship Id="rId29" Type="http://schemas.openxmlformats.org/officeDocument/2006/relationships/hyperlink" Target="https://www.vlaio.be/nl/vlaio-netwerk/steun-voor-onderzoeksinfrastructuur-bij-hogescholen/wat-na-de-indiening-van-de/vorige-oproepen-steun-vo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laio.be/nl/subsidies-financiering/onderzoeksproject" TargetMode="External"/><Relationship Id="rId24" Type="http://schemas.openxmlformats.org/officeDocument/2006/relationships/hyperlink" Target="https://www.vlaio.be/nl/subsidies-financiering/piloottrajecten-bio-gebaseerde-toepassingen" TargetMode="External"/><Relationship Id="rId32" Type="http://schemas.openxmlformats.org/officeDocument/2006/relationships/hyperlink" Target="https://ec.europa.eu/info/funding-tenders/opportunities/docs/2021-2027/digital/wp-call/2021/call-fiche_digital-2021-cloud-ai-01_en.pdf" TargetMode="External"/><Relationship Id="rId37" Type="http://schemas.openxmlformats.org/officeDocument/2006/relationships/hyperlink" Target="https://www.vlaio.be/nl/vlaio-netwerk/landbouw-la-trajecten" TargetMode="External"/><Relationship Id="rId40" Type="http://schemas.openxmlformats.org/officeDocument/2006/relationships/hyperlink" Target="https://www.vlaio.be/nl/vlaio-netwerk/projecten-voor-speerpuntclusters/innovatieprojecten-van-speerpuntclusters"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vlaio.be/nl/vlaio-netwerk/tetra" TargetMode="External"/><Relationship Id="rId23" Type="http://schemas.openxmlformats.org/officeDocument/2006/relationships/hyperlink" Target="https://www.vlaio.be/nl/vlaio-netwerk/steun-voor-onderzoeksinfrastructuur-bij-hogescholen" TargetMode="External"/><Relationship Id="rId28" Type="http://schemas.openxmlformats.org/officeDocument/2006/relationships/hyperlink" Target="https://www.vlaio.be/nl/media/2349" TargetMode="External"/><Relationship Id="rId36" Type="http://schemas.openxmlformats.org/officeDocument/2006/relationships/hyperlink" Target="https://www.vlaio.be/nl/subsidies-financiering/oo-haalbaarheidsstudie" TargetMode="External"/><Relationship Id="rId10" Type="http://schemas.openxmlformats.org/officeDocument/2006/relationships/hyperlink" Target="https://www.vlaio.be/nl/clusterorganisaties/het-clusterbeleid/het-vlaamse-clusterbeleid" TargetMode="External"/><Relationship Id="rId19" Type="http://schemas.openxmlformats.org/officeDocument/2006/relationships/hyperlink" Target="https://www.vlaio.be/nl/vlaio-netwerk/projecten-voor-speerpuntclusters/innovatieprojecten-van-speerpuntclusters" TargetMode="External"/><Relationship Id="rId31" Type="http://schemas.openxmlformats.org/officeDocument/2006/relationships/hyperlink" Target="https://ec.europa.eu/info/funding-tenders/opportunities/portal/screen/opportunities/topic-details/digital-2021-cloud-ai-01-data-tech"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laio.be/nl/vlaio-netwerk/landbouw-la-trajecten" TargetMode="External"/><Relationship Id="rId22" Type="http://schemas.openxmlformats.org/officeDocument/2006/relationships/hyperlink" Target="https://www.vlaio.be/nl/vlaio-netwerk/steun-voor-onderzoeksinfrastructuur-bij-hogescholen" TargetMode="External"/><Relationship Id="rId27" Type="http://schemas.openxmlformats.org/officeDocument/2006/relationships/hyperlink" Target="https://www.vlaio.be/nl/vlaio-netwerk/steun-voor-onderzoeksinfrastructuur-bij-hogescholen/wat-na-de-indiening-van-de/vorige-oproepen-steun-voor" TargetMode="External"/><Relationship Id="rId30" Type="http://schemas.openxmlformats.org/officeDocument/2006/relationships/hyperlink" Target="https://www.vlaio.be/nl/media/1832" TargetMode="External"/><Relationship Id="rId35" Type="http://schemas.openxmlformats.org/officeDocument/2006/relationships/hyperlink" Target="https://www.vlaio.be/nl/subsidies-financiering/ontwikkelingsproject" TargetMode="External"/><Relationship Id="rId43" Type="http://schemas.openxmlformats.org/officeDocument/2006/relationships/hyperlink" Target="https://www.vlaio.be/nl/vlaio-netwerk/projecten-voor-speerpuntclusters/innovatieprojecten-van-speerpuntclusters"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vlaio.be/nl/subsidies-financiering/ontwikkelingsproject" TargetMode="External"/><Relationship Id="rId17" Type="http://schemas.openxmlformats.org/officeDocument/2006/relationships/hyperlink" Target="https://www.vlaio.be/nl/vlaio-netwerk/projecten-voor-speerpuntclusters/innovatieprojecten-van-speerpuntclusters" TargetMode="External"/><Relationship Id="rId25" Type="http://schemas.openxmlformats.org/officeDocument/2006/relationships/hyperlink" Target="https://www.vlaio.be/nl/media/1783" TargetMode="External"/><Relationship Id="rId33" Type="http://schemas.openxmlformats.org/officeDocument/2006/relationships/hyperlink" Target="https://www.vlaio.be/nl/media/1784" TargetMode="External"/><Relationship Id="rId38" Type="http://schemas.openxmlformats.org/officeDocument/2006/relationships/hyperlink" Target="https://www.vlaio.be/nl/vlaio-netwerk/tetra" TargetMode="External"/><Relationship Id="rId46" Type="http://schemas.openxmlformats.org/officeDocument/2006/relationships/theme" Target="theme/theme1.xml"/><Relationship Id="rId20" Type="http://schemas.openxmlformats.org/officeDocument/2006/relationships/hyperlink" Target="https://www.vlaio.be/nl/vlaio-netwerk/projecten-voor-speerpuntclusters/innovatieprojecten-van-speerpuntclusters" TargetMode="External"/><Relationship Id="rId41" Type="http://schemas.openxmlformats.org/officeDocument/2006/relationships/hyperlink" Target="https://www.vlaio.be/nl/vlaio-netwerk/projecten-voor-speerpuntclusters/innovatieprojecten-van-speerpuntcluster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636D773D-00F3-41A7-BFB3-E33A2D4B6B9C}"/>
</file>

<file path=docProps/app.xml><?xml version="1.0" encoding="utf-8"?>
<Properties xmlns="http://schemas.openxmlformats.org/officeDocument/2006/extended-properties" xmlns:vt="http://schemas.openxmlformats.org/officeDocument/2006/docPropsVTypes">
  <Template>Normal.dotm</Template>
  <TotalTime>13</TotalTime>
  <Pages>11</Pages>
  <Words>5433</Words>
  <Characters>29887</Characters>
  <Application>Microsoft Office Word</Application>
  <DocSecurity>0</DocSecurity>
  <Lines>249</Lines>
  <Paragraphs>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IGAE</Company>
  <LinksUpToDate>false</LinksUpToDate>
  <CharactersWithSpaces>35250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Schouwaerts Yves</cp:lastModifiedBy>
  <cp:revision>3</cp:revision>
  <cp:lastPrinted>2024-06-11T13:02:00Z</cp:lastPrinted>
  <dcterms:created xsi:type="dcterms:W3CDTF">2024-06-12T07:50:00Z</dcterms:created>
  <dcterms:modified xsi:type="dcterms:W3CDTF">2024-06-12T08:03:00Z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